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0620-2019-EO-2022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重庆瑞恩涂料有限公司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重庆瑞恩涂料有限公司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重庆市江津区德感工业园</w:t>
            </w:r>
            <w:bookmarkEnd w:id="6"/>
          </w:p>
        </w:tc>
        <w:tc>
          <w:tcPr>
            <w:tcW w:w="1242" w:type="dxa"/>
            <w:vMerge w:val="restart"/>
            <w:vAlign w:val="center"/>
          </w:tcPr>
          <w:p>
            <w:r>
              <w:rPr>
                <w:rFonts w:hint="eastAsia"/>
              </w:rPr>
              <w:t>邮编</w:t>
            </w:r>
          </w:p>
        </w:tc>
        <w:tc>
          <w:tcPr>
            <w:tcW w:w="1771" w:type="dxa"/>
          </w:tcPr>
          <w:p>
            <w:bookmarkStart w:id="7" w:name="注册邮编"/>
            <w:r>
              <w:t>402284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重庆市江津区德感工业园</w:t>
            </w:r>
            <w:bookmarkEnd w:id="8"/>
          </w:p>
        </w:tc>
        <w:tc>
          <w:tcPr>
            <w:tcW w:w="1242" w:type="dxa"/>
            <w:vMerge w:val="continue"/>
            <w:vAlign w:val="center"/>
          </w:tcPr>
          <w:p/>
        </w:tc>
        <w:tc>
          <w:tcPr>
            <w:tcW w:w="1771" w:type="dxa"/>
          </w:tcPr>
          <w:p>
            <w:bookmarkStart w:id="9" w:name="办公邮编"/>
            <w:r>
              <w:t>402284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胡元洪</w:t>
            </w:r>
            <w:bookmarkEnd w:id="10"/>
          </w:p>
        </w:tc>
        <w:tc>
          <w:tcPr>
            <w:tcW w:w="1313" w:type="dxa"/>
            <w:vAlign w:val="center"/>
          </w:tcPr>
          <w:p>
            <w:r>
              <w:rPr>
                <w:rFonts w:hint="eastAsia"/>
              </w:rPr>
              <w:t>电话.</w:t>
            </w:r>
          </w:p>
        </w:tc>
        <w:tc>
          <w:tcPr>
            <w:tcW w:w="2180" w:type="dxa"/>
            <w:vAlign w:val="center"/>
          </w:tcPr>
          <w:p>
            <w:bookmarkStart w:id="11" w:name="联系人电话"/>
            <w:r>
              <w:t>023-47388818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王登伦</w:t>
            </w:r>
            <w:bookmarkEnd w:id="13"/>
          </w:p>
        </w:tc>
        <w:tc>
          <w:tcPr>
            <w:tcW w:w="1313" w:type="dxa"/>
            <w:vAlign w:val="center"/>
          </w:tcPr>
          <w:p>
            <w:r>
              <w:rPr>
                <w:rFonts w:hint="eastAsia"/>
              </w:rPr>
              <w:t>管理者代表</w:t>
            </w:r>
          </w:p>
        </w:tc>
        <w:tc>
          <w:tcPr>
            <w:tcW w:w="2180" w:type="dxa"/>
          </w:tcPr>
          <w:p>
            <w:bookmarkStart w:id="14" w:name="管理者代表"/>
            <w:r>
              <w:t>邬江萍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搅拌→研磨→调漆→过滤→包装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2022年04月08日 上午至2022年04月08日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重庆市璧山区青杠街道来凤民生街41号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E：汽车涂料的研发及生产（限许可范围内）所涉及的相关环境管理活动。</w:t>
            </w:r>
          </w:p>
          <w:p>
            <w:r>
              <w:t>O：汽车涂料的研发和生产（限许可范围内）所涉及的相关职业健康安全管理活动。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E：12.03.00</w:t>
            </w:r>
          </w:p>
          <w:p>
            <w:r>
              <w:t>O：12.03.00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2019年5月10日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2021年2月25日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ascii="宋体" w:hAnsi="宋体"/>
                <w:b/>
                <w:sz w:val="21"/>
                <w:szCs w:val="21"/>
                <w:lang w:val="en-US" w:eastAsia="zh-CN"/>
              </w:rPr>
              <w:t>2023年1月18日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54"/>
        <w:gridCol w:w="582"/>
        <w:gridCol w:w="3066"/>
        <w:gridCol w:w="12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54" w:type="dxa"/>
            <w:shd w:val="clear" w:color="auto" w:fill="F3F3F3"/>
            <w:tcMar>
              <w:left w:w="57" w:type="dxa"/>
              <w:right w:w="57" w:type="dxa"/>
            </w:tcMar>
          </w:tcPr>
          <w:p>
            <w:r>
              <w:rPr>
                <w:rFonts w:hint="eastAsia"/>
              </w:rPr>
              <w:t>经营场所的地址</w:t>
            </w:r>
          </w:p>
          <w:p>
            <w:r>
              <w:rPr>
                <w:rFonts w:hint="eastAsia"/>
              </w:rPr>
              <w:t>（多现场和临时现场）</w:t>
            </w:r>
          </w:p>
        </w:tc>
        <w:tc>
          <w:tcPr>
            <w:tcW w:w="582" w:type="dxa"/>
            <w:shd w:val="clear" w:color="auto" w:fill="F3F3F3"/>
            <w:tcMar>
              <w:left w:w="57" w:type="dxa"/>
              <w:right w:w="57" w:type="dxa"/>
            </w:tcMar>
          </w:tcPr>
          <w:p>
            <w:r>
              <w:rPr>
                <w:rFonts w:hint="eastAsia"/>
              </w:rPr>
              <w:t>员工人数</w:t>
            </w:r>
          </w:p>
        </w:tc>
        <w:tc>
          <w:tcPr>
            <w:tcW w:w="3066" w:type="dxa"/>
            <w:shd w:val="clear" w:color="auto" w:fill="F3F3F3"/>
            <w:tcMar>
              <w:left w:w="57" w:type="dxa"/>
              <w:right w:w="57" w:type="dxa"/>
            </w:tcMar>
          </w:tcPr>
          <w:p>
            <w:r>
              <w:rPr>
                <w:rFonts w:hint="eastAsia"/>
              </w:rPr>
              <w:t>审核范围（产品和过程）</w:t>
            </w:r>
          </w:p>
          <w:p/>
          <w:p/>
        </w:tc>
        <w:tc>
          <w:tcPr>
            <w:tcW w:w="120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b w:val="0"/>
                <w:bCs/>
                <w:lang w:val="en-US" w:eastAsia="zh-CN"/>
              </w:rPr>
            </w:pPr>
            <w:bookmarkStart w:id="31" w:name="组织名称Add"/>
            <w:r>
              <w:rPr>
                <w:rFonts w:ascii="宋体"/>
                <w:b w:val="0"/>
                <w:bCs/>
                <w:sz w:val="21"/>
              </w:rPr>
              <w:t>重庆瑞恩涂料有限公司</w:t>
            </w:r>
            <w:bookmarkEnd w:id="31"/>
            <w:r>
              <w:rPr>
                <w:rFonts w:hint="eastAsia" w:ascii="宋体"/>
                <w:b w:val="0"/>
                <w:bCs/>
                <w:sz w:val="21"/>
                <w:lang w:val="en-US" w:eastAsia="zh-CN"/>
              </w:rPr>
              <w:t>/</w:t>
            </w:r>
            <w:r>
              <w:rPr>
                <w:rFonts w:ascii="宋体"/>
                <w:b w:val="0"/>
                <w:bCs/>
                <w:sz w:val="21"/>
              </w:rPr>
              <w:t>重庆市江津区德感工业园</w:t>
            </w:r>
          </w:p>
        </w:tc>
        <w:tc>
          <w:tcPr>
            <w:tcW w:w="1454" w:type="dxa"/>
          </w:tcPr>
          <w:p>
            <w:pPr>
              <w:rPr>
                <w:b w:val="0"/>
                <w:bCs/>
                <w:lang w:val="de-DE" w:eastAsia="ja-JP"/>
              </w:rPr>
            </w:pPr>
            <w:r>
              <w:rPr>
                <w:rFonts w:ascii="宋体"/>
                <w:b w:val="0"/>
                <w:bCs/>
                <w:sz w:val="21"/>
              </w:rPr>
              <w:t>重庆市江津区德感工业园</w:t>
            </w:r>
          </w:p>
        </w:tc>
        <w:tc>
          <w:tcPr>
            <w:tcW w:w="582" w:type="dxa"/>
            <w:vAlign w:val="center"/>
          </w:tcPr>
          <w:p>
            <w:pPr>
              <w:rPr>
                <w:rFonts w:hint="default" w:eastAsia="宋体"/>
                <w:b w:val="0"/>
                <w:bCs/>
                <w:lang w:val="en-US" w:eastAsia="zh-CN"/>
              </w:rPr>
            </w:pPr>
            <w:r>
              <w:rPr>
                <w:rFonts w:hint="eastAsia"/>
                <w:b w:val="0"/>
                <w:bCs/>
                <w:lang w:val="en-US" w:eastAsia="zh-CN"/>
              </w:rPr>
              <w:t>38</w:t>
            </w:r>
          </w:p>
        </w:tc>
        <w:tc>
          <w:tcPr>
            <w:tcW w:w="3066" w:type="dxa"/>
            <w:vAlign w:val="center"/>
          </w:tcPr>
          <w:p>
            <w:pPr>
              <w:spacing w:line="360" w:lineRule="exact"/>
              <w:rPr>
                <w:rFonts w:ascii="宋体" w:hAnsi="宋体"/>
                <w:b w:val="0"/>
                <w:bCs/>
                <w:sz w:val="21"/>
                <w:szCs w:val="21"/>
              </w:rPr>
            </w:pPr>
            <w:r>
              <w:rPr>
                <w:rFonts w:ascii="宋体" w:hAnsi="宋体"/>
                <w:b w:val="0"/>
                <w:bCs/>
                <w:sz w:val="21"/>
                <w:szCs w:val="21"/>
              </w:rPr>
              <w:t>EMS</w:t>
            </w:r>
            <w:r>
              <w:rPr>
                <w:rFonts w:hint="eastAsia" w:ascii="宋体" w:hAnsi="宋体"/>
                <w:b w:val="0"/>
                <w:bCs/>
                <w:sz w:val="21"/>
                <w:szCs w:val="21"/>
              </w:rPr>
              <w:t>：</w:t>
            </w:r>
            <w:r>
              <w:rPr>
                <w:b w:val="0"/>
                <w:bCs/>
                <w:sz w:val="18"/>
                <w:szCs w:val="18"/>
              </w:rPr>
              <w:t>汽车涂料的研发及生产（限许可范围内）所涉及的相关环境管理活动</w:t>
            </w:r>
          </w:p>
          <w:p>
            <w:pPr>
              <w:rPr>
                <w:b w:val="0"/>
                <w:bCs/>
                <w:lang w:eastAsia="ja-JP"/>
              </w:rPr>
            </w:pPr>
            <w:r>
              <w:rPr>
                <w:rFonts w:ascii="宋体" w:hAnsi="宋体"/>
                <w:b w:val="0"/>
                <w:bCs/>
                <w:sz w:val="21"/>
                <w:szCs w:val="21"/>
              </w:rPr>
              <w:t>OHSMS</w:t>
            </w:r>
            <w:r>
              <w:rPr>
                <w:rFonts w:hint="eastAsia" w:ascii="宋体" w:hAnsi="宋体"/>
                <w:b w:val="0"/>
                <w:bCs/>
                <w:sz w:val="21"/>
                <w:szCs w:val="21"/>
              </w:rPr>
              <w:t>：</w:t>
            </w:r>
            <w:r>
              <w:rPr>
                <w:b w:val="0"/>
                <w:bCs/>
                <w:sz w:val="18"/>
                <w:szCs w:val="18"/>
              </w:rPr>
              <w:t>汽车涂料的研发和生产（限许可范围内）所涉及的相关职业健康安全管理活动</w:t>
            </w:r>
          </w:p>
        </w:tc>
        <w:tc>
          <w:tcPr>
            <w:tcW w:w="1208" w:type="dxa"/>
            <w:vAlign w:val="center"/>
          </w:tcPr>
          <w:p>
            <w:pPr>
              <w:rPr>
                <w:rFonts w:hint="eastAsia"/>
                <w:b w:val="0"/>
                <w:bCs/>
              </w:rPr>
            </w:pPr>
            <w:r>
              <w:rPr>
                <w:rFonts w:hint="eastAsia"/>
                <w:b w:val="0"/>
                <w:bCs/>
              </w:rPr>
              <w:t xml:space="preserve"> GB/T 24001-2016</w:t>
            </w:r>
          </w:p>
          <w:p>
            <w:pPr>
              <w:pStyle w:val="13"/>
              <w:rPr>
                <w:rFonts w:hint="eastAsia"/>
                <w:b w:val="0"/>
                <w:bCs/>
                <w:sz w:val="21"/>
                <w:szCs w:val="21"/>
                <w:lang w:eastAsia="ja-JP"/>
              </w:rPr>
            </w:pPr>
            <w:r>
              <w:rPr>
                <w:rFonts w:hint="eastAsia"/>
                <w:b w:val="0"/>
                <w:bCs/>
                <w:sz w:val="21"/>
                <w:szCs w:val="21"/>
                <w:lang w:eastAsia="ja-JP"/>
              </w:rPr>
              <w:t>GB/T 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454" w:type="dxa"/>
            <w:vAlign w:val="center"/>
          </w:tcPr>
          <w:p>
            <w:pPr>
              <w:rPr>
                <w:lang w:eastAsia="ja-JP"/>
              </w:rPr>
            </w:pPr>
          </w:p>
        </w:tc>
        <w:tc>
          <w:tcPr>
            <w:tcW w:w="582" w:type="dxa"/>
            <w:vAlign w:val="center"/>
          </w:tcPr>
          <w:p>
            <w:pPr>
              <w:rPr>
                <w:lang w:eastAsia="ja-JP"/>
              </w:rPr>
            </w:pPr>
          </w:p>
        </w:tc>
        <w:tc>
          <w:tcPr>
            <w:tcW w:w="3066"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54" w:type="dxa"/>
            <w:vAlign w:val="center"/>
          </w:tcPr>
          <w:p>
            <w:pPr>
              <w:rPr>
                <w:lang w:eastAsia="ja-JP"/>
              </w:rPr>
            </w:pPr>
          </w:p>
        </w:tc>
        <w:tc>
          <w:tcPr>
            <w:tcW w:w="582" w:type="dxa"/>
            <w:vAlign w:val="center"/>
          </w:tcPr>
          <w:p>
            <w:pPr>
              <w:rPr>
                <w:lang w:eastAsia="ja-JP"/>
              </w:rPr>
            </w:pPr>
          </w:p>
        </w:tc>
        <w:tc>
          <w:tcPr>
            <w:tcW w:w="3066"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54" w:type="dxa"/>
            <w:vAlign w:val="center"/>
          </w:tcPr>
          <w:p>
            <w:pPr>
              <w:rPr>
                <w:lang w:eastAsia="ja-JP"/>
              </w:rPr>
            </w:pPr>
          </w:p>
        </w:tc>
        <w:tc>
          <w:tcPr>
            <w:tcW w:w="582" w:type="dxa"/>
            <w:vAlign w:val="center"/>
          </w:tcPr>
          <w:p>
            <w:pPr>
              <w:rPr>
                <w:lang w:eastAsia="ja-JP"/>
              </w:rPr>
            </w:pPr>
          </w:p>
        </w:tc>
        <w:tc>
          <w:tcPr>
            <w:tcW w:w="3066"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54" w:type="dxa"/>
            <w:vAlign w:val="center"/>
          </w:tcPr>
          <w:p>
            <w:pPr>
              <w:rPr>
                <w:lang w:eastAsia="ja-JP"/>
              </w:rPr>
            </w:pPr>
          </w:p>
        </w:tc>
        <w:tc>
          <w:tcPr>
            <w:tcW w:w="582" w:type="dxa"/>
            <w:vAlign w:val="center"/>
          </w:tcPr>
          <w:p>
            <w:pPr>
              <w:rPr>
                <w:lang w:eastAsia="ja-JP"/>
              </w:rPr>
            </w:pPr>
          </w:p>
        </w:tc>
        <w:tc>
          <w:tcPr>
            <w:tcW w:w="3066" w:type="dxa"/>
            <w:vAlign w:val="center"/>
          </w:tcPr>
          <w:p>
            <w:pPr>
              <w:rPr>
                <w:lang w:eastAsia="ja-JP"/>
              </w:rPr>
            </w:pPr>
          </w:p>
        </w:tc>
        <w:tc>
          <w:tcPr>
            <w:tcW w:w="1208"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2021-N1EMS-3093566</w:t>
            </w:r>
          </w:p>
          <w:p>
            <w:r>
              <w:t>2019-N1OHSMS-2093566</w:t>
            </w:r>
          </w:p>
        </w:tc>
        <w:tc>
          <w:tcPr>
            <w:tcW w:w="2179" w:type="dxa"/>
            <w:vAlign w:val="center"/>
          </w:tcPr>
          <w:p>
            <w:r>
              <w:t>E:12.03.00</w:t>
            </w:r>
          </w:p>
          <w:p>
            <w: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r>
              <w:t>E:12.03.00</w:t>
            </w:r>
          </w:p>
          <w:p>
            <w: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总经理由</w:t>
            </w:r>
            <w:r>
              <w:t>王登伦</w:t>
            </w:r>
            <w:r>
              <w:rPr>
                <w:rFonts w:hint="eastAsia"/>
                <w:lang w:val="en-US" w:eastAsia="zh-CN"/>
              </w:rPr>
              <w:t>变更为毛晓云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汽车涂料的研发及生产（限许可范围内）所涉及的相关环境管理活动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汽车涂料的研发和生产（限许可范围内）所涉及的相关职业健康安全管理活动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1" locked="0" layoutInCell="1" allowOverlap="1">
                  <wp:simplePos x="0" y="0"/>
                  <wp:positionH relativeFrom="column">
                    <wp:posOffset>272415</wp:posOffset>
                  </wp:positionH>
                  <wp:positionV relativeFrom="paragraph">
                    <wp:posOffset>34925</wp:posOffset>
                  </wp:positionV>
                  <wp:extent cx="401955" cy="361950"/>
                  <wp:effectExtent l="0" t="0" r="9525" b="381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401955" cy="36195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w:t>
            </w:r>
            <w:r>
              <w:rPr>
                <w:rFonts w:hint="eastAsia"/>
                <w:lang w:eastAsia="zh-CN"/>
              </w:rPr>
              <w:t>遵守法律法规化的管理体系方针：预防环境污染、节约资源能源、控制安全隐患、降低健康风险、实施持续改进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办公室、安环部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default" w:eastAsia="宋体"/>
                <w:lang w:val="en-US" w:eastAsia="zh-CN"/>
              </w:rPr>
            </w:pPr>
            <w:r>
              <w:rPr>
                <w:rFonts w:hint="eastAsia"/>
              </w:rPr>
              <w:sym w:font="Wingdings 2" w:char="0052"/>
            </w:r>
            <w:r>
              <w:rPr>
                <w:rFonts w:hint="eastAsia"/>
              </w:rPr>
              <w:t>安全生产许可证编号：</w:t>
            </w:r>
            <w:r>
              <w:rPr>
                <w:rFonts w:hint="eastAsia"/>
                <w:lang w:val="en-US" w:eastAsia="zh-CN"/>
              </w:rPr>
              <w:t>渝WH安许证字【2020】第33号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91500116699281001C001Q</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rPr>
                    <w:t>污水处理100%达标</w:t>
                  </w:r>
                </w:p>
              </w:tc>
              <w:tc>
                <w:tcPr>
                  <w:tcW w:w="3136" w:type="dxa"/>
                  <w:shd w:val="clear" w:color="auto" w:fill="auto"/>
                  <w:vAlign w:val="center"/>
                </w:tcPr>
                <w:p>
                  <w:pPr>
                    <w:shd w:val="clear" w:color="auto" w:fill="EBF1DE" w:themeFill="accent3" w:themeFillTint="32"/>
                    <w:rPr>
                      <w:lang w:val="en-GB"/>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废气排放100%达标</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厂界噪声昼间≤65分贝</w:t>
                  </w:r>
                </w:p>
                <w:p>
                  <w:pPr>
                    <w:pStyle w:val="2"/>
                  </w:pPr>
                  <w:r>
                    <w:rPr>
                      <w:rFonts w:hint="eastAsia" w:ascii="宋体" w:hAnsi="宋体"/>
                    </w:rPr>
                    <w:t>厂界噪声夜间≤55分贝</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rPr>
                    <w:t>固废处置率100%</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szCs w:val="21"/>
                    </w:rPr>
                    <w:t>增强环境意识，</w:t>
                  </w:r>
                  <w:r>
                    <w:rPr>
                      <w:bCs/>
                      <w:szCs w:val="21"/>
                    </w:rPr>
                    <w:t>重要环境污染事故为0</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lang w:val="en-US" w:eastAsia="zh-CN"/>
              </w:rPr>
              <w:t>调漆缸、灌装机、分散机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lang w:val="en-US" w:eastAsia="zh-CN"/>
              </w:rPr>
              <w:t>活性炭吸附器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高固低粘环保涂料</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2021年6月10日</w:t>
            </w:r>
            <w:r>
              <w:rPr>
                <w:rFonts w:hint="eastAsia"/>
              </w:rPr>
              <w:t>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cs="宋体"/>
                <w:color w:val="000000"/>
                <w:kern w:val="0"/>
                <w:szCs w:val="21"/>
                <w:highlight w:val="none"/>
                <w:lang w:val="en-US" w:eastAsia="zh-CN"/>
              </w:rPr>
              <w:t>泰环（检）字[2022]第WT094号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2021年10月10日-11日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eastAsia="宋体" w:cs="Times New Roman"/>
                <w:kern w:val="2"/>
                <w:sz w:val="21"/>
                <w:szCs w:val="24"/>
                <w:highlight w:val="none"/>
                <w:lang w:val="en-US" w:eastAsia="zh-CN" w:bidi="ar-SA"/>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lang w:eastAsia="zh-CN"/>
              </w:rPr>
              <w:t>预防环境污染、节约资源能源、控制安全隐患、降低健康风险、实施持续改进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安环部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胡元洪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生产过程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遵守法律法规规章制度，加强安全培训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仓储过程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遵守法律法规规章制度，加强安全培训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w:t>
            </w:r>
            <w:r>
              <w:rPr>
                <w:rFonts w:hint="eastAsia"/>
              </w:rPr>
              <w:sym w:font="Wingdings 2" w:char="0052"/>
            </w:r>
            <w:r>
              <w:rPr>
                <w:rFonts w:hint="eastAsia"/>
              </w:rPr>
              <w:t>化学伤害</w:t>
            </w:r>
            <w:r>
              <w:rPr>
                <w:rFonts w:hint="eastAsia"/>
              </w:rPr>
              <w:sym w:font="Wingdings 2" w:char="0052"/>
            </w:r>
            <w:r>
              <w:rPr>
                <w:rFonts w:hint="eastAsia"/>
              </w:rPr>
              <w:t>噪声</w:t>
            </w:r>
            <w:r>
              <w:rPr>
                <w:rFonts w:hint="eastAsia"/>
              </w:rPr>
              <w:sym w:font="Wingdings 2" w:char="0052"/>
            </w:r>
            <w:r>
              <w:rPr>
                <w:rFonts w:hint="eastAsia"/>
              </w:rPr>
              <w:t>粉尘</w:t>
            </w:r>
            <w:r>
              <w:rPr>
                <w:rFonts w:hint="eastAsia"/>
              </w:rPr>
              <w:sym w:font="Wingdings 2" w:char="0052"/>
            </w:r>
            <w:r>
              <w:rPr>
                <w:rFonts w:hint="eastAsia"/>
              </w:rPr>
              <w:t>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安全生产许可证编号：</w:t>
            </w:r>
            <w:r>
              <w:rPr>
                <w:rFonts w:hint="eastAsia"/>
                <w:lang w:val="en-US" w:eastAsia="zh-CN"/>
              </w:rPr>
              <w:t>渝WH安许证字【2020】第33号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职业病体检报告书日期：</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职业病发生率0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Ansi="宋体"/>
                      <w:szCs w:val="21"/>
                    </w:rPr>
                    <w:t>重大安全事故发生次数0，轻伤率小于0.5%，重伤率小于0.3%，死亡率0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Ansi="宋体"/>
                      <w:szCs w:val="21"/>
                    </w:rPr>
                    <w:t>火灾事故发生率为0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Ansi="宋体"/>
                      <w:szCs w:val="21"/>
                    </w:rPr>
                    <w:t>爆炸事故发生率为0</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u w:val="single"/>
              </w:rPr>
            </w:pPr>
            <w:r>
              <w:rPr>
                <w:rFonts w:hint="eastAsia"/>
                <w:u w:val="single"/>
              </w:rPr>
              <w:t>建筑面积3000平方米；生产车间1个；库房1个；实验室1个；</w:t>
            </w:r>
          </w:p>
          <w:p>
            <w:pPr>
              <w:rPr>
                <w:u w:val="single"/>
              </w:rPr>
            </w:pPr>
            <w:r>
              <w:rPr>
                <w:rFonts w:hint="eastAsia"/>
                <w:u w:val="single"/>
              </w:rPr>
              <w:t>主要生产设备有：调漆缸、灌装机、分散机（列举2~4种）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高固低粘环保涂料</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sym w:font="Wingdings 2" w:char="0052"/>
                  </w:r>
                  <w:r>
                    <w:rPr>
                      <w:rFonts w:hint="eastAsia"/>
                    </w:rPr>
                    <w:t>设置围堰</w:t>
                  </w:r>
                  <w:r>
                    <w:rPr>
                      <w:rFonts w:hint="eastAsia"/>
                    </w:rPr>
                    <w:sym w:font="Wingdings 2" w:char="0052"/>
                  </w:r>
                  <w:r>
                    <w:rPr>
                      <w:rFonts w:hint="eastAsia"/>
                    </w:rPr>
                    <w:t>排风系统</w:t>
                  </w:r>
                  <w:r>
                    <w:rPr>
                      <w:rFonts w:hint="eastAsia"/>
                    </w:rPr>
                    <w:sym w:font="Wingdings 2" w:char="0052"/>
                  </w:r>
                  <w:r>
                    <w:rPr>
                      <w:rFonts w:hint="eastAsia"/>
                    </w:rPr>
                    <w:t>穿戴劳保用品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应急演练</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2021年6月10日</w:t>
            </w:r>
            <w:r>
              <w:rPr>
                <w:rFonts w:hint="eastAsia"/>
              </w:rPr>
              <w:t>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2022年3月20日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ascii="宋体" w:hAnsi="宋体"/>
                <w:szCs w:val="21"/>
                <w:highlight w:val="none"/>
              </w:rPr>
              <w:t>渝</w:t>
            </w:r>
            <w:r>
              <w:rPr>
                <w:rFonts w:hint="eastAsia" w:ascii="宋体" w:hAnsi="宋体"/>
                <w:szCs w:val="21"/>
                <w:highlight w:val="none"/>
                <w:lang w:val="en-US" w:eastAsia="zh-CN"/>
              </w:rPr>
              <w:t>朕职检字【2021】D1134号</w:t>
            </w:r>
            <w:r>
              <w:rPr>
                <w:rFonts w:hint="eastAsia"/>
              </w:rPr>
              <w:t>。</w:t>
            </w:r>
          </w:p>
          <w:p>
            <w:r>
              <w:rPr>
                <w:rFonts w:hint="eastAsia"/>
              </w:rPr>
              <w:t>职业病体检：</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ascii="宋体" w:hAnsi="宋体" w:cs="宋体"/>
                <w:szCs w:val="21"/>
                <w:highlight w:val="none"/>
                <w:lang w:val="en-US" w:eastAsia="zh-CN"/>
              </w:rPr>
              <w:t>津疾控职健检字（2021）379号</w:t>
            </w:r>
            <w:r>
              <w:rPr>
                <w:rFonts w:hint="eastAsia"/>
              </w:rPr>
              <w:t>。</w:t>
            </w:r>
          </w:p>
          <w:p>
            <w:r>
              <w:rPr>
                <w:rFonts w:hint="eastAsia"/>
              </w:rPr>
              <w:t>《建筑消防检测报告》编号：。</w:t>
            </w:r>
          </w:p>
          <w:p>
            <w:r>
              <w:rPr>
                <w:rFonts w:hint="eastAsia"/>
              </w:rPr>
              <w:t>《防雷检测报告》编号：</w:t>
            </w:r>
            <w:r>
              <w:rPr>
                <w:rFonts w:hint="eastAsia"/>
                <w:lang w:val="en-US" w:eastAsia="zh-CN"/>
              </w:rPr>
              <w:t>渝雷检YCSFLJC2022（定）字第012号</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2021年10月10日-11日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2021年10月25日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bookmarkStart w:id="35" w:name="_GoBack" w:colFirst="1" w:colLast="3"/>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bookmark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5A3C71"/>
    <w:rsid w:val="3E012F00"/>
    <w:rsid w:val="5C275B5C"/>
    <w:rsid w:val="7D175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Plain Text"/>
    <w:basedOn w:val="1"/>
    <w:uiPriority w:val="0"/>
    <w:rPr>
      <w:rFonts w:hint="eastAsia"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18773</Words>
  <Characters>19623</Characters>
  <Lines>150</Lines>
  <Paragraphs>42</Paragraphs>
  <TotalTime>0</TotalTime>
  <ScaleCrop>false</ScaleCrop>
  <LinksUpToDate>false</LinksUpToDate>
  <CharactersWithSpaces>19749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2022-04-08T08:36:10Z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