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广汉市王强运业有限责任公司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袁甲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综合管理部（财务部）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3"/>
              <w:rPr>
                <w:rFonts w:hint="eastAsia" w:ascii="Times New Roman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  <w:t>查法律法规清单时发现部分法律法规未及时更新，不符合标准条款：GB/T19001-2016和GB/T24001-2016、GB/T45001-2020第7.5.3条款：应控制质量管理体系和本标准所要求的成文信息，以确保a）在需求的场合和时机，均可获得并适用的要求。</w:t>
            </w:r>
            <w:bookmarkStart w:id="19" w:name="_GoBack"/>
            <w:bookmarkEnd w:id="19"/>
          </w:p>
          <w:p>
            <w:pPr>
              <w:spacing w:before="120" w:line="160" w:lineRule="exact"/>
              <w:rPr>
                <w:rFonts w:hint="eastAsia" w:ascii="Times New Roman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spacing w:before="120" w:line="160" w:lineRule="exact"/>
              <w:rPr>
                <w:rFonts w:hint="eastAsia" w:ascii="Times New Roman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Times New Roman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Times New Roman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Times New Roman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7A2B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2022-03-15T07:59:15Z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