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河南安信家具销售有限公司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于卫红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2022.3.7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21590</wp:posOffset>
                  </wp:positionV>
                  <wp:extent cx="1836420" cy="1377315"/>
                  <wp:effectExtent l="0" t="0" r="11430" b="13335"/>
                  <wp:wrapNone/>
                  <wp:docPr id="1" name="图片 1" descr="1ef5c7bb5e2143015d341cc46f4e2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ef5c7bb5e2143015d341cc46f4e2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生产部配件仓库未按管理要求进行摆放。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4514850</wp:posOffset>
                  </wp:positionH>
                  <wp:positionV relativeFrom="paragraph">
                    <wp:posOffset>97790</wp:posOffset>
                  </wp:positionV>
                  <wp:extent cx="1694180" cy="1270635"/>
                  <wp:effectExtent l="0" t="0" r="1270" b="5715"/>
                  <wp:wrapNone/>
                  <wp:docPr id="2" name="图片 2" descr="e98bb49aa98aaf409b2a7c61207f3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98bb49aa98aaf409b2a7c61207f30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127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生产部配件仓库未按管理要求进行摆放。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已按照仓库管理的要求对配件进行重新摆放。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未配置兼职仓库管理员和不良习惯造成。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配置了兼职仓库管理员（石小转），重申仓库管理的重要性，严格按管理制度执行。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2022年3月7日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检查公司所有仓库，包括原材料库，要求按仓库管理要求进行管理，摆放整齐，标识清晰，帐物卡要相符，进一步提升公司管理水平。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5D7BB3"/>
    <w:rsid w:val="6CEB2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15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2022-03-05T07:29:58Z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