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0143-2022-QEO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河南安信家具销售有限公司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河南安信家具销售有限公司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郑州市中牟县官渡镇马庄桥村北河南省农业示范园西</w:t>
            </w:r>
            <w:bookmarkEnd w:id="6"/>
          </w:p>
        </w:tc>
        <w:tc>
          <w:tcPr>
            <w:tcW w:w="1242" w:type="dxa"/>
            <w:vMerge w:val="restart"/>
            <w:vAlign w:val="center"/>
          </w:tcPr>
          <w:p>
            <w:r>
              <w:rPr>
                <w:rFonts w:hint="eastAsia"/>
              </w:rPr>
              <w:t>邮编</w:t>
            </w:r>
          </w:p>
        </w:tc>
        <w:tc>
          <w:tcPr>
            <w:tcW w:w="1771" w:type="dxa"/>
          </w:tcPr>
          <w:p>
            <w:bookmarkStart w:id="7" w:name="注册邮编"/>
            <w:r>
              <w:t>451450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郑州市中牟县官渡镇马庄桥村北河南省农业示范园西</w:t>
            </w:r>
            <w:bookmarkEnd w:id="8"/>
          </w:p>
        </w:tc>
        <w:tc>
          <w:tcPr>
            <w:tcW w:w="1242" w:type="dxa"/>
            <w:vMerge w:val="continue"/>
            <w:vAlign w:val="center"/>
          </w:tcPr>
          <w:p/>
        </w:tc>
        <w:tc>
          <w:tcPr>
            <w:tcW w:w="1771" w:type="dxa"/>
          </w:tcPr>
          <w:p>
            <w:bookmarkStart w:id="9" w:name="办公邮编"/>
            <w:r>
              <w:t>451450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于卫红</w:t>
            </w:r>
            <w:bookmarkEnd w:id="10"/>
          </w:p>
        </w:tc>
        <w:tc>
          <w:tcPr>
            <w:tcW w:w="1313" w:type="dxa"/>
            <w:vAlign w:val="center"/>
          </w:tcPr>
          <w:p>
            <w:r>
              <w:rPr>
                <w:rFonts w:hint="eastAsia"/>
              </w:rPr>
              <w:t>电话.</w:t>
            </w:r>
          </w:p>
        </w:tc>
        <w:tc>
          <w:tcPr>
            <w:tcW w:w="2180" w:type="dxa"/>
            <w:vAlign w:val="center"/>
          </w:tcPr>
          <w:p>
            <w:bookmarkStart w:id="11" w:name="联系人电话"/>
            <w:r>
              <w:t>18410259001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于卫红</w:t>
            </w:r>
            <w:bookmarkEnd w:id="13"/>
          </w:p>
        </w:tc>
        <w:tc>
          <w:tcPr>
            <w:tcW w:w="1313" w:type="dxa"/>
            <w:vAlign w:val="center"/>
          </w:tcPr>
          <w:p>
            <w:r>
              <w:rPr>
                <w:rFonts w:hint="eastAsia"/>
              </w:rPr>
              <w:t>管理者代表</w:t>
            </w:r>
          </w:p>
        </w:tc>
        <w:tc>
          <w:tcPr>
            <w:tcW w:w="2180" w:type="dxa"/>
          </w:tcPr>
          <w:p>
            <w:bookmarkStart w:id="14" w:name="管理者代表"/>
            <w:r>
              <w:t>张娜</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宋体" w:hAnsi="宋体"/>
                <w:sz w:val="21"/>
                <w:szCs w:val="21"/>
                <w:lang w:val="en-US" w:eastAsia="zh-CN"/>
              </w:rPr>
            </w:pPr>
            <w:r>
              <w:rPr>
                <w:rFonts w:hint="eastAsia" w:ascii="宋体" w:hAnsi="宋体"/>
                <w:sz w:val="21"/>
                <w:szCs w:val="21"/>
                <w:lang w:val="en-US" w:eastAsia="zh-CN"/>
              </w:rPr>
              <w:t>开料</w:t>
            </w:r>
            <w:r>
              <w:rPr>
                <w:rFonts w:hint="eastAsia" w:ascii="宋体" w:hAnsi="宋体"/>
                <w:sz w:val="21"/>
                <w:szCs w:val="21"/>
              </w:rPr>
              <w:t>→</w:t>
            </w:r>
            <w:r>
              <w:rPr>
                <w:rFonts w:hint="eastAsia" w:ascii="宋体" w:hAnsi="宋体"/>
                <w:sz w:val="21"/>
                <w:szCs w:val="21"/>
                <w:lang w:val="en-US" w:eastAsia="zh-CN"/>
              </w:rPr>
              <w:t>封边</w:t>
            </w:r>
            <w:r>
              <w:rPr>
                <w:rFonts w:hint="eastAsia" w:ascii="宋体" w:hAnsi="宋体"/>
                <w:sz w:val="21"/>
                <w:szCs w:val="21"/>
              </w:rPr>
              <w:t>→</w:t>
            </w:r>
            <w:r>
              <w:rPr>
                <w:rFonts w:hint="eastAsia" w:ascii="宋体" w:hAnsi="宋体"/>
                <w:sz w:val="21"/>
                <w:szCs w:val="21"/>
                <w:lang w:val="en-US" w:eastAsia="zh-CN"/>
              </w:rPr>
              <w:t>排孔</w:t>
            </w:r>
            <w:r>
              <w:rPr>
                <w:rFonts w:hint="eastAsia" w:ascii="宋体" w:hAnsi="宋体"/>
                <w:sz w:val="21"/>
                <w:szCs w:val="21"/>
              </w:rPr>
              <w:t>→</w:t>
            </w:r>
            <w:r>
              <w:rPr>
                <w:rFonts w:hint="eastAsia" w:ascii="宋体" w:hAnsi="宋体"/>
                <w:sz w:val="21"/>
                <w:szCs w:val="21"/>
                <w:lang w:val="en-US" w:eastAsia="zh-CN"/>
              </w:rPr>
              <w:t>组装</w:t>
            </w:r>
            <w:r>
              <w:rPr>
                <w:rFonts w:hint="eastAsia" w:ascii="宋体" w:hAnsi="宋体"/>
                <w:sz w:val="21"/>
                <w:szCs w:val="21"/>
              </w:rPr>
              <w:t>→</w:t>
            </w:r>
            <w:r>
              <w:rPr>
                <w:rFonts w:hint="eastAsia" w:ascii="宋体" w:hAnsi="宋体"/>
                <w:sz w:val="21"/>
                <w:szCs w:val="21"/>
                <w:lang w:val="en-US" w:eastAsia="zh-CN"/>
              </w:rPr>
              <w:t>成品</w:t>
            </w:r>
          </w:p>
          <w:p>
            <w:r>
              <w:rPr>
                <w:rFonts w:hint="eastAsia"/>
                <w:b w:val="0"/>
                <w:bCs w:val="0"/>
                <w:color w:val="auto"/>
                <w:sz w:val="21"/>
                <w:szCs w:val="21"/>
                <w:lang w:val="en-US" w:eastAsia="zh-CN"/>
              </w:rPr>
              <w:t>销售流程：</w:t>
            </w:r>
            <w:r>
              <w:rPr>
                <w:rFonts w:hint="eastAsia" w:ascii="宋体" w:hAnsi="宋体" w:eastAsia="宋体" w:cs="宋体"/>
                <w:color w:val="auto"/>
                <w:kern w:val="2"/>
                <w:sz w:val="21"/>
                <w:szCs w:val="21"/>
                <w:lang w:val="en-US" w:eastAsia="zh-CN" w:bidi="ar-SA"/>
              </w:rPr>
              <w:t>订单—进货检验—入库—出库检验—发货</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2022年03月04日 上午至2022年03月06日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1"/>
                <w:szCs w:val="21"/>
              </w:rPr>
              <w:t>郑州市中牟县官渡镇马庄桥村北河南省农业示范园西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E：办公家具、酒店家具的生产和销售所涉及场所的相关环境管理活动</w:t>
            </w:r>
          </w:p>
          <w:p>
            <w:r>
              <w:t>Q：办公家具、酒店家具的生产和销售</w:t>
            </w:r>
          </w:p>
          <w:p>
            <w:r>
              <w:t>O：办公家具、酒店家具的生产和销售所涉及场所的相关职业健康安全管理活动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E：23.01.01;23.01.04</w:t>
            </w:r>
          </w:p>
          <w:p>
            <w:r>
              <w:t>Q：23.01.01;23.01.04</w:t>
            </w:r>
          </w:p>
          <w:p>
            <w:r>
              <w:t>O：23.01.01;23.01.04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河南安信家具销售有限公司</w:t>
            </w:r>
            <w:r>
              <w:rPr>
                <w:rFonts w:hint="eastAsia"/>
                <w:sz w:val="21"/>
                <w:szCs w:val="21"/>
                <w:lang w:val="en-US" w:eastAsia="zh-CN"/>
              </w:rPr>
              <w:t>/</w:t>
            </w:r>
            <w:r>
              <w:rPr>
                <w:rFonts w:asciiTheme="minorEastAsia" w:hAnsiTheme="minorEastAsia" w:eastAsiaTheme="minorEastAsia"/>
                <w:sz w:val="20"/>
              </w:rPr>
              <w:t>郑州市中牟县官渡镇马庄桥村北河南省农业示范园西</w:t>
            </w:r>
          </w:p>
        </w:tc>
        <w:tc>
          <w:tcPr>
            <w:tcW w:w="2267" w:type="dxa"/>
          </w:tcPr>
          <w:p>
            <w:pPr>
              <w:rPr>
                <w:lang w:val="de-DE" w:eastAsia="ja-JP"/>
              </w:rPr>
            </w:pPr>
            <w:r>
              <w:rPr>
                <w:rFonts w:asciiTheme="minorEastAsia" w:hAnsiTheme="minorEastAsia" w:eastAsiaTheme="minorEastAsia"/>
                <w:sz w:val="20"/>
              </w:rPr>
              <w:t>郑州市中牟县官渡镇马庄桥村北河南省农业示范园西</w:t>
            </w:r>
          </w:p>
        </w:tc>
        <w:tc>
          <w:tcPr>
            <w:tcW w:w="571" w:type="dxa"/>
            <w:vAlign w:val="center"/>
          </w:tcPr>
          <w:p>
            <w:pPr>
              <w:rPr>
                <w:rFonts w:hint="default" w:eastAsia="宋体"/>
                <w:lang w:val="en-US" w:eastAsia="zh-CN"/>
              </w:rPr>
            </w:pPr>
            <w:r>
              <w:rPr>
                <w:rFonts w:hint="eastAsia"/>
                <w:lang w:val="en-US" w:eastAsia="zh-CN"/>
              </w:rPr>
              <w:t>25人</w:t>
            </w:r>
          </w:p>
        </w:tc>
        <w:tc>
          <w:tcPr>
            <w:tcW w:w="2803" w:type="dxa"/>
            <w:vAlign w:val="center"/>
          </w:tcPr>
          <w:p>
            <w:pPr>
              <w:rPr>
                <w:sz w:val="20"/>
              </w:rPr>
            </w:pPr>
            <w:r>
              <w:rPr>
                <w:sz w:val="20"/>
              </w:rPr>
              <w:t>E：办公家具、酒店家具的生产和销售所涉及场所的相关环境管理活动</w:t>
            </w:r>
          </w:p>
          <w:p>
            <w:pPr>
              <w:rPr>
                <w:sz w:val="20"/>
              </w:rPr>
            </w:pPr>
            <w:r>
              <w:rPr>
                <w:sz w:val="20"/>
              </w:rPr>
              <w:t>Q：办公家具、酒店家具的生产和销售</w:t>
            </w:r>
          </w:p>
          <w:p>
            <w:pPr>
              <w:rPr>
                <w:lang w:eastAsia="ja-JP"/>
              </w:rPr>
            </w:pPr>
            <w:r>
              <w:rPr>
                <w:sz w:val="20"/>
              </w:rPr>
              <w:t>O：办公家具、酒店家具的生产和销售所涉及场所的相关职业健康安全管理活动</w:t>
            </w:r>
          </w:p>
        </w:tc>
        <w:tc>
          <w:tcPr>
            <w:tcW w:w="669" w:type="dxa"/>
            <w:vAlign w:val="center"/>
          </w:tcPr>
          <w:p>
            <w:pPr>
              <w:rPr>
                <w:rFonts w:ascii="宋体" w:hAnsi="宋体"/>
                <w:b/>
                <w:sz w:val="21"/>
                <w:szCs w:val="21"/>
              </w:rPr>
            </w:pPr>
            <w:r>
              <w:rPr>
                <w:rFonts w:hint="eastAsia" w:ascii="宋体" w:hAnsi="宋体"/>
                <w:b/>
                <w:sz w:val="21"/>
                <w:szCs w:val="21"/>
              </w:rPr>
              <w:t>GB/T19001-2016/ISO 9001:2015</w:t>
            </w:r>
            <w:r>
              <w:rPr>
                <w:rFonts w:hint="eastAsia" w:ascii="宋体" w:hAnsi="宋体"/>
                <w:b/>
                <w:sz w:val="21"/>
                <w:szCs w:val="21"/>
                <w:lang w:eastAsia="zh-CN"/>
              </w:rPr>
              <w:t>、</w:t>
            </w:r>
            <w:r>
              <w:rPr>
                <w:rFonts w:hint="eastAsia" w:ascii="宋体" w:hAnsi="宋体"/>
                <w:b/>
                <w:sz w:val="21"/>
                <w:szCs w:val="21"/>
              </w:rPr>
              <w:t>GB/T24001-2016/ISO 14001:2015</w:t>
            </w:r>
            <w:r>
              <w:rPr>
                <w:rFonts w:hint="eastAsia" w:ascii="宋体" w:hAnsi="宋体"/>
                <w:b/>
                <w:sz w:val="21"/>
                <w:szCs w:val="21"/>
                <w:lang w:eastAsia="zh-CN"/>
              </w:rPr>
              <w:t>、</w:t>
            </w:r>
            <w:r>
              <w:rPr>
                <w:rFonts w:hint="eastAsia" w:ascii="宋体" w:hAnsi="宋体"/>
                <w:b/>
                <w:sz w:val="21"/>
                <w:szCs w:val="21"/>
              </w:rPr>
              <w:t>GB/T 45001-2020/ISO45001：2018</w:t>
            </w:r>
          </w:p>
          <w:p>
            <w:pPr>
              <w:spacing w:before="40" w:after="40"/>
              <w:rPr>
                <w:lang w:eastAsia="ja-JP"/>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2020-N1EMS-2219448</w:t>
            </w:r>
          </w:p>
          <w:p>
            <w:r>
              <w:t>2020-N1QMS-2219448</w:t>
            </w:r>
          </w:p>
          <w:p>
            <w:r>
              <w:t>2020-N1OHSMS-2219448</w:t>
            </w:r>
          </w:p>
        </w:tc>
        <w:tc>
          <w:tcPr>
            <w:tcW w:w="2179" w:type="dxa"/>
            <w:vAlign w:val="center"/>
          </w:tcPr>
          <w:p>
            <w:r>
              <w:t>E:23.01.01,23.01.04</w:t>
            </w:r>
          </w:p>
          <w:p>
            <w:r>
              <w:t>Q:23.01.01,23.01.04</w:t>
            </w:r>
          </w:p>
          <w:p>
            <w: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2021-N1EMS-1274747</w:t>
            </w:r>
          </w:p>
          <w:p>
            <w:r>
              <w:t>2021-N1QMS-1274747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sz w:val="21"/>
                <w:szCs w:val="21"/>
              </w:rPr>
            </w:pPr>
            <w:r>
              <w:rPr>
                <w:sz w:val="21"/>
                <w:szCs w:val="21"/>
              </w:rPr>
              <w:t>办公家具、酒店家具的生产和销售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sz w:val="21"/>
                <w:szCs w:val="21"/>
              </w:rPr>
            </w:pPr>
            <w:r>
              <w:rPr>
                <w:sz w:val="21"/>
                <w:szCs w:val="21"/>
              </w:rPr>
              <w:t>办公家具、酒店家具的生产和销售所涉及场所的相关环境管理活动</w:t>
            </w:r>
          </w:p>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sz w:val="21"/>
                <w:szCs w:val="21"/>
              </w:rPr>
            </w:pPr>
            <w:r>
              <w:rPr>
                <w:sz w:val="21"/>
                <w:szCs w:val="21"/>
              </w:rPr>
              <w:t>办公家具、酒店家具的生产和销售所涉及场所的相关职业健康安全管理活动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hd w:val="clear" w:color="auto" w:fill="C7DAF1" w:themeFill="text2" w:themeFillTint="32"/>
              <w:rPr>
                <w:rFonts w:hint="eastAsia" w:cs="宋体"/>
                <w:szCs w:val="22"/>
                <w:lang w:eastAsia="zh-CN"/>
              </w:rPr>
            </w:pPr>
            <w:r>
              <w:rPr>
                <w:rFonts w:hint="eastAsia" w:cs="宋体"/>
                <w:szCs w:val="22"/>
              </w:rPr>
              <w:t>顾客满意，质量第一。遵守法规，预防污染。遵守法规，安全第一</w:t>
            </w:r>
            <w:r>
              <w:rPr>
                <w:rFonts w:hint="eastAsia" w:cs="宋体"/>
                <w:szCs w:val="22"/>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8517"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6"/>
              <w:gridCol w:w="2740"/>
              <w:gridCol w:w="618"/>
              <w:gridCol w:w="618"/>
              <w:gridCol w:w="910"/>
              <w:gridCol w:w="595"/>
              <w:gridCol w:w="548"/>
              <w:gridCol w:w="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9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w:t>
                  </w:r>
                </w:p>
              </w:tc>
              <w:tc>
                <w:tcPr>
                  <w:tcW w:w="2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计算公式</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考核频次</w:t>
                  </w:r>
                </w:p>
              </w:tc>
              <w:tc>
                <w:tcPr>
                  <w:tcW w:w="323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9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10月</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11月</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w:t>
                  </w:r>
                </w:p>
              </w:tc>
              <w:tc>
                <w:tcPr>
                  <w:tcW w:w="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w:t>
                  </w:r>
                </w:p>
              </w:tc>
              <w:tc>
                <w:tcPr>
                  <w:tcW w:w="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产品出厂合格率100%</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产品出厂合格数/产品交验总数×100%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产品及时交付率100%</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按期交付次数/应按期交付总数×100% </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顾客满意度≥90分</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调查客户总分/调查客户数量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3000</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b w:val="0"/>
                <w:bCs w:val="0"/>
                <w:u w:val="single"/>
              </w:rPr>
              <w:t xml:space="preserve"> </w:t>
            </w:r>
            <w:r>
              <w:rPr>
                <w:rFonts w:hint="eastAsia" w:asciiTheme="majorEastAsia" w:hAnsiTheme="majorEastAsia" w:eastAsiaTheme="majorEastAsia" w:cstheme="majorEastAsia"/>
                <w:kern w:val="2"/>
                <w:sz w:val="21"/>
                <w:szCs w:val="21"/>
                <w:u w:val="single"/>
                <w:lang w:val="en-US" w:eastAsia="zh-CN" w:bidi="ar-SA"/>
              </w:rPr>
              <w:t>冷压机、精密推台锯、往复式裁板锯、自动封边机</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52"/>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rPr>
              <w:sym w:font="Wingdings 2" w:char="0052"/>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卷尺、游标卡尺等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52"/>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办公家具、酒店家具的生产和销售</w:t>
                  </w:r>
                </w:p>
              </w:tc>
              <w:tc>
                <w:tcPr>
                  <w:tcW w:w="3665" w:type="dxa"/>
                </w:tcPr>
                <w:p>
                  <w:pPr>
                    <w:shd w:val="clear" w:color="auto" w:fill="C7DAF1" w:themeFill="text2" w:themeFillTint="32"/>
                    <w:jc w:val="left"/>
                    <w:rPr>
                      <w:rFonts w:hint="default" w:eastAsia="宋体"/>
                      <w:lang w:val="en-US" w:eastAsia="zh-CN"/>
                    </w:rPr>
                  </w:pPr>
                  <w:r>
                    <w:rPr>
                      <w:rFonts w:hint="eastAsia" w:ascii="宋体" w:hAnsi="宋体"/>
                      <w:color w:val="auto"/>
                      <w:kern w:val="0"/>
                      <w:sz w:val="21"/>
                      <w:szCs w:val="21"/>
                      <w:u w:val="none"/>
                    </w:rPr>
                    <w:t>组装</w:t>
                  </w:r>
                  <w:r>
                    <w:rPr>
                      <w:rFonts w:hint="eastAsia" w:ascii="宋体" w:hAnsi="宋体"/>
                      <w:color w:val="auto"/>
                      <w:kern w:val="0"/>
                      <w:sz w:val="21"/>
                      <w:szCs w:val="21"/>
                      <w:u w:val="none"/>
                      <w:lang w:eastAsia="zh-CN"/>
                    </w:rPr>
                    <w:t>、</w:t>
                  </w:r>
                  <w:r>
                    <w:rPr>
                      <w:rFonts w:hint="eastAsia" w:ascii="宋体" w:hAnsi="宋体" w:eastAsia="宋体" w:cs="Times New Roman"/>
                      <w:color w:val="auto"/>
                      <w:kern w:val="0"/>
                      <w:sz w:val="21"/>
                      <w:szCs w:val="21"/>
                      <w:u w:val="none"/>
                      <w:lang w:val="en-US" w:eastAsia="zh-CN"/>
                    </w:rPr>
                    <w:t>封边</w:t>
                  </w:r>
                  <w:r>
                    <w:rPr>
                      <w:rFonts w:hint="eastAsia" w:ascii="宋体" w:hAnsi="宋体"/>
                      <w:color w:val="auto"/>
                      <w:kern w:val="0"/>
                      <w:sz w:val="21"/>
                      <w:szCs w:val="21"/>
                      <w:u w:val="none"/>
                    </w:rPr>
                    <w:t>过程</w:t>
                  </w:r>
                </w:p>
              </w:tc>
              <w:tc>
                <w:tcPr>
                  <w:tcW w:w="3265" w:type="dxa"/>
                </w:tcPr>
                <w:p>
                  <w:pPr>
                    <w:shd w:val="clear" w:color="auto" w:fill="C7DAF1" w:themeFill="text2" w:themeFillTint="32"/>
                    <w:jc w:val="left"/>
                    <w:rPr>
                      <w:rFonts w:hint="eastAsia" w:eastAsia="宋体"/>
                      <w:lang w:val="en-US" w:eastAsia="zh-CN"/>
                    </w:rPr>
                  </w:pPr>
                  <w:r>
                    <w:rPr>
                      <w:rFonts w:hint="eastAsia" w:ascii="宋体" w:hAnsi="宋体" w:cs="Times New Roman"/>
                      <w:color w:val="auto"/>
                      <w:kern w:val="0"/>
                      <w:sz w:val="21"/>
                      <w:szCs w:val="21"/>
                      <w:u w:val="none"/>
                      <w:lang w:val="en-US" w:eastAsia="zh-CN"/>
                    </w:rPr>
                    <w:t>无缝隙、光滑、严实合缝</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eastAsia="宋体" w:cs="Times New Roman"/>
                <w:color w:val="auto"/>
                <w:kern w:val="0"/>
                <w:sz w:val="21"/>
                <w:szCs w:val="21"/>
                <w:u w:val="single"/>
                <w:lang w:val="en-US" w:eastAsia="zh-CN"/>
              </w:rPr>
              <w:t>封边</w:t>
            </w:r>
            <w:r>
              <w:rPr>
                <w:rFonts w:hint="eastAsia" w:ascii="宋体" w:hAnsi="宋体" w:eastAsia="宋体" w:cs="Times New Roman"/>
                <w:color w:val="auto"/>
                <w:kern w:val="0"/>
                <w:sz w:val="21"/>
                <w:szCs w:val="21"/>
                <w:u w:val="single"/>
              </w:rPr>
              <w:t>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21</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 xml:space="preserve">EMS体系建立以来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hd w:val="clear" w:color="auto" w:fill="EBF1DE" w:themeFill="accent3" w:themeFillTint="32"/>
              <w:rPr>
                <w:rFonts w:hint="eastAsia" w:cs="宋体"/>
                <w:szCs w:val="22"/>
                <w:lang w:eastAsia="zh-CN"/>
              </w:rPr>
            </w:pPr>
            <w:r>
              <w:rPr>
                <w:rFonts w:hint="eastAsia" w:cs="宋体"/>
                <w:szCs w:val="22"/>
              </w:rPr>
              <w:t>顾客满意，质量第一。遵守法规，预防污染。遵守法规，安全第一</w:t>
            </w:r>
            <w:r>
              <w:rPr>
                <w:rFonts w:hint="eastAsia" w:cs="宋体"/>
                <w:szCs w:val="22"/>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生产部、办公室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A3"/>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 xml:space="preserve">排污许可证编号： </w:t>
            </w:r>
            <w:r>
              <w:rPr>
                <w:rFonts w:hint="eastAsia"/>
                <w:u w:val="single"/>
              </w:rPr>
              <w:t xml:space="preserve"> </w:t>
            </w:r>
            <w:r>
              <w:rPr>
                <w:sz w:val="22"/>
                <w:szCs w:val="22"/>
                <w:u w:val="single"/>
              </w:rPr>
              <w:t>9141012206758192XC</w:t>
            </w:r>
            <w:r>
              <w:rPr>
                <w:rFonts w:hint="eastAsia"/>
                <w:sz w:val="22"/>
                <w:szCs w:val="22"/>
                <w:u w:val="single"/>
                <w:lang w:val="en-US" w:eastAsia="zh-CN"/>
              </w:rPr>
              <w:t>001W</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环境影响报告表日期：</w:t>
            </w:r>
            <w:r>
              <w:rPr>
                <w:rFonts w:hint="eastAsia"/>
                <w:u w:val="single"/>
              </w:rPr>
              <w:t xml:space="preserve"> </w:t>
            </w:r>
            <w:r>
              <w:rPr>
                <w:rFonts w:hint="eastAsia"/>
                <w:u w:val="single"/>
                <w:lang w:val="en-US" w:eastAsia="zh-CN"/>
              </w:rPr>
              <w:t>2017.10</w:t>
            </w:r>
            <w:r>
              <w:rPr>
                <w:rFonts w:hint="eastAsia"/>
                <w:u w:val="single"/>
              </w:rPr>
              <w:t xml:space="preserve">             </w:t>
            </w:r>
          </w:p>
          <w:p>
            <w:pPr>
              <w:shd w:val="clear" w:color="auto" w:fill="EBF1DE" w:themeFill="accent3" w:themeFillTint="32"/>
            </w:pPr>
            <w:r>
              <w:rPr>
                <w:rFonts w:hint="eastAsia"/>
              </w:rPr>
              <w:sym w:font="Wingdings 2" w:char="0052"/>
            </w: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A3"/>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A3"/>
            </w: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rPr>
              <w:t>噪声、废气达标排放</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100%</w:t>
            </w:r>
          </w:p>
          <w:p>
            <w:pPr>
              <w:rPr>
                <w:rFonts w:hint="default" w:ascii="Times New Roman" w:hAnsi="Times New Roman" w:cs="Times New Roman"/>
                <w:sz w:val="21"/>
                <w:szCs w:val="21"/>
              </w:rPr>
            </w:pPr>
            <w:r>
              <w:rPr>
                <w:rFonts w:hint="eastAsia" w:ascii="Times New Roman" w:hAnsi="Times New Roman" w:cs="Times New Roman"/>
                <w:sz w:val="21"/>
                <w:szCs w:val="21"/>
                <w:lang w:eastAsia="zh-CN"/>
              </w:rPr>
              <w:t>人身伤害事故为0</w:t>
            </w:r>
            <w:r>
              <w:rPr>
                <w:rFonts w:hint="default" w:ascii="Times New Roman" w:hAnsi="Times New Roman" w:cs="Times New Roman"/>
                <w:sz w:val="21"/>
                <w:szCs w:val="21"/>
              </w:rPr>
              <w:t xml:space="preserve">            0</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固废分类回收率100%</w:t>
            </w:r>
            <w:r>
              <w:rPr>
                <w:rFonts w:hint="eastAsia" w:ascii="Times New Roman" w:hAnsi="Times New Roman" w:cs="Times New Roman"/>
                <w:sz w:val="21"/>
                <w:szCs w:val="21"/>
                <w:lang w:val="en-US" w:eastAsia="zh-CN"/>
              </w:rPr>
              <w:t xml:space="preserve">        100%</w:t>
            </w:r>
          </w:p>
          <w:p>
            <w:pPr>
              <w:rPr>
                <w:rFonts w:hint="eastAsia" w:ascii="Wingdings" w:hAnsi="Wingdings"/>
              </w:rPr>
            </w:pPr>
            <w:r>
              <w:rPr>
                <w:rFonts w:hint="default" w:ascii="Times New Roman" w:hAnsi="Times New Roman" w:cs="Times New Roman"/>
                <w:sz w:val="21"/>
                <w:szCs w:val="21"/>
                <w:lang w:val="en-US" w:eastAsia="zh-CN"/>
              </w:rPr>
              <w:t>火灾事故为零</w:t>
            </w:r>
            <w:r>
              <w:rPr>
                <w:rFonts w:hint="eastAsia" w:ascii="Times New Roman" w:hAnsi="Times New Roman" w:cs="Times New Roman"/>
                <w:sz w:val="21"/>
                <w:szCs w:val="21"/>
                <w:lang w:val="en-US" w:eastAsia="zh-CN"/>
              </w:rPr>
              <w:t xml:space="preserve">                0</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3000</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asciiTheme="majorEastAsia" w:hAnsiTheme="majorEastAsia" w:eastAsiaTheme="majorEastAsia" w:cstheme="majorEastAsia"/>
                <w:kern w:val="2"/>
                <w:sz w:val="21"/>
                <w:szCs w:val="21"/>
                <w:u w:val="single"/>
                <w:lang w:val="en-US" w:eastAsia="zh-CN" w:bidi="ar-SA"/>
              </w:rPr>
              <w:t>冷压机、精密推台锯、往复式裁板锯、自动封边机</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asciiTheme="majorEastAsia" w:hAnsiTheme="majorEastAsia" w:eastAsiaTheme="majorEastAsia" w:cstheme="majorEastAsia"/>
                <w:sz w:val="21"/>
                <w:szCs w:val="21"/>
                <w:u w:val="single"/>
                <w:lang w:val="en-US" w:eastAsia="zh-CN"/>
              </w:rPr>
              <w:t>中央除尘系统、水帘+UV光解催化</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52"/>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危废</w:t>
                  </w:r>
                </w:p>
              </w:tc>
              <w:tc>
                <w:tcPr>
                  <w:tcW w:w="36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建危废间，签订危废处置协议</w:t>
                  </w:r>
                </w:p>
              </w:tc>
              <w:tc>
                <w:tcPr>
                  <w:tcW w:w="32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lang w:val="en-US" w:eastAsia="zh-CN"/>
              </w:rPr>
              <w:t>叉车检验报告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rPr>
              <w:t>年</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lang w:val="en-US" w:eastAsia="zh-CN"/>
              </w:rPr>
              <w:t>BRCC2107HJ105</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lang w:val="en-US" w:eastAsia="zh-CN"/>
              </w:rPr>
              <w:t>21</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lang w:val="en-US" w:eastAsia="zh-CN"/>
              </w:rPr>
              <w:t>OH</w:t>
            </w:r>
            <w:r>
              <w:rPr>
                <w:rFonts w:hint="eastAsia"/>
              </w:rPr>
              <w:t xml:space="preserve">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cs="宋体"/>
                <w:szCs w:val="22"/>
              </w:rPr>
              <w:t>顾客满意，质量第一。遵守法规，预防污染。遵守法规，安全第一</w:t>
            </w:r>
            <w:r>
              <w:rPr>
                <w:rFonts w:hint="eastAsia" w:cs="宋体"/>
                <w:szCs w:val="22"/>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生产部、办公室</w:t>
            </w:r>
          </w:p>
          <w:p>
            <w:pPr>
              <w:rPr>
                <w:rFonts w:hint="default"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范中原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52"/>
            </w:r>
            <w:r>
              <w:rPr>
                <w:rFonts w:hint="eastAsia"/>
              </w:rPr>
              <w:t>职业病体检报告书日期：</w:t>
            </w:r>
            <w:r>
              <w:rPr>
                <w:rFonts w:hint="eastAsia"/>
                <w:lang w:val="en-US" w:eastAsia="zh-CN"/>
              </w:rPr>
              <w:t>2021年11月20日</w:t>
            </w:r>
            <w:r>
              <w:rPr>
                <w:rFonts w:hint="eastAsia"/>
              </w:rPr>
              <w:t xml:space="preserve">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rPr>
              <w:t>噪声、废气达标排放</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100%</w:t>
            </w:r>
          </w:p>
          <w:p>
            <w:pPr>
              <w:rPr>
                <w:rFonts w:hint="default" w:ascii="Times New Roman" w:hAnsi="Times New Roman" w:cs="Times New Roman"/>
                <w:sz w:val="21"/>
                <w:szCs w:val="21"/>
              </w:rPr>
            </w:pPr>
            <w:r>
              <w:rPr>
                <w:rFonts w:hint="eastAsia" w:ascii="Times New Roman" w:hAnsi="Times New Roman" w:cs="Times New Roman"/>
                <w:sz w:val="21"/>
                <w:szCs w:val="21"/>
                <w:lang w:eastAsia="zh-CN"/>
              </w:rPr>
              <w:t>人身伤害事故为0</w:t>
            </w:r>
            <w:r>
              <w:rPr>
                <w:rFonts w:hint="default" w:ascii="Times New Roman" w:hAnsi="Times New Roman" w:cs="Times New Roman"/>
                <w:sz w:val="21"/>
                <w:szCs w:val="21"/>
              </w:rPr>
              <w:t xml:space="preserve">            0</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固废分类回收率100%</w:t>
            </w:r>
            <w:r>
              <w:rPr>
                <w:rFonts w:hint="eastAsia" w:ascii="Times New Roman" w:hAnsi="Times New Roman" w:cs="Times New Roman"/>
                <w:sz w:val="21"/>
                <w:szCs w:val="21"/>
                <w:lang w:val="en-US" w:eastAsia="zh-CN"/>
              </w:rPr>
              <w:t xml:space="preserve">        100%</w:t>
            </w:r>
          </w:p>
          <w:p>
            <w:pPr>
              <w:rPr>
                <w:rFonts w:hint="eastAsia" w:ascii="Wingdings" w:hAnsi="Wingdings"/>
              </w:rPr>
            </w:pPr>
            <w:r>
              <w:rPr>
                <w:rFonts w:hint="default" w:ascii="Times New Roman" w:hAnsi="Times New Roman" w:cs="Times New Roman"/>
                <w:sz w:val="21"/>
                <w:szCs w:val="21"/>
                <w:lang w:val="en-US" w:eastAsia="zh-CN"/>
              </w:rPr>
              <w:t>火灾事故为零</w:t>
            </w:r>
            <w:r>
              <w:rPr>
                <w:rFonts w:hint="eastAsia" w:ascii="Times New Roman" w:hAnsi="Times New Roman" w:cs="Times New Roman"/>
                <w:sz w:val="21"/>
                <w:szCs w:val="21"/>
                <w:lang w:val="en-US" w:eastAsia="zh-CN"/>
              </w:rPr>
              <w:t xml:space="preserve">                0</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3000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asciiTheme="majorEastAsia" w:hAnsiTheme="majorEastAsia" w:eastAsiaTheme="majorEastAsia" w:cstheme="majorEastAsia"/>
                <w:kern w:val="2"/>
                <w:sz w:val="21"/>
                <w:szCs w:val="21"/>
                <w:u w:val="single"/>
                <w:lang w:val="en-US" w:eastAsia="zh-CN" w:bidi="ar-SA"/>
              </w:rPr>
              <w:t>冷压机、精密推台锯、往复式裁板锯、自动封边机</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52"/>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A3"/>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叉车检验报告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default"/>
                <w:u w:val="single"/>
                <w:lang w:val="en-US" w:eastAsia="zh-CN"/>
              </w:rPr>
            </w:pPr>
            <w:r>
              <w:rPr>
                <w:rFonts w:hint="eastAsia"/>
              </w:rPr>
              <w:t>《职业病体检》编号：</w:t>
            </w:r>
            <w:r>
              <w:rPr>
                <w:rFonts w:hint="eastAsia"/>
                <w:u w:val="single"/>
              </w:rPr>
              <w:t xml:space="preserve"> </w:t>
            </w:r>
            <w:r>
              <w:rPr>
                <w:rFonts w:hint="eastAsia"/>
                <w:u w:val="single"/>
                <w:lang w:val="en-US" w:eastAsia="zh-CN"/>
              </w:rPr>
              <w:t>2021.11.20对4名员工的体检报告，新华郑州健康管理中心</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bookmarkStart w:id="34" w:name="_GoBack"/>
            <w:bookmarkEnd w:id="34"/>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21</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F54754"/>
    <w:rsid w:val="5FB25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2022-03-05T07:57:53Z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