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0131-2022-QEO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石家庄京铁腾飞工量具有限公司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2022年03月12日 上午至2022年03月12日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en-US" w:eastAsia="zh-CN"/>
              </w:rPr>
              <w:t xml:space="preserve">GB/T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河北省石家庄市裕华区西京北村方郄路158号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30"/>
        <w:gridCol w:w="148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30" w:type="dxa"/>
            <w:vAlign w:val="center"/>
          </w:tcPr>
          <w:p>
            <w:pPr>
              <w:spacing w:line="240" w:lineRule="exact"/>
              <w:jc w:val="center"/>
              <w:rPr>
                <w:b/>
                <w:color w:val="000000"/>
                <w:szCs w:val="21"/>
              </w:rPr>
            </w:pPr>
            <w:r>
              <w:rPr>
                <w:rFonts w:hint="eastAsia"/>
                <w:szCs w:val="21"/>
              </w:rPr>
              <w:t>审核员注册证书号</w:t>
            </w:r>
          </w:p>
        </w:tc>
        <w:tc>
          <w:tcPr>
            <w:tcW w:w="148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3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80" w:type="dxa"/>
            <w:vAlign w:val="center"/>
          </w:tcPr>
          <w:p>
            <w:pPr>
              <w:spacing w:line="240" w:lineRule="exact"/>
              <w:jc w:val="center"/>
              <w:rPr>
                <w:b/>
                <w:color w:val="000000"/>
                <w:szCs w:val="21"/>
              </w:rPr>
            </w:pPr>
            <w:r>
              <w:rPr>
                <w:b/>
                <w:color w:val="000000"/>
                <w:szCs w:val="21"/>
              </w:rPr>
              <w:t>Q:29.10.07</w:t>
            </w:r>
          </w:p>
          <w:p>
            <w:pPr>
              <w:spacing w:line="240" w:lineRule="exact"/>
              <w:jc w:val="center"/>
              <w:rPr>
                <w:b/>
                <w:color w:val="000000"/>
                <w:szCs w:val="21"/>
              </w:rPr>
            </w:pPr>
            <w:r>
              <w:rPr>
                <w:b/>
                <w:color w:val="000000"/>
                <w:szCs w:val="21"/>
              </w:rPr>
              <w:t>E:29.10.07</w:t>
            </w:r>
          </w:p>
          <w:p>
            <w:pPr>
              <w:spacing w:line="240" w:lineRule="exact"/>
              <w:jc w:val="center"/>
              <w:rPr>
                <w:b/>
                <w:color w:val="000000"/>
                <w:szCs w:val="21"/>
              </w:rPr>
            </w:pPr>
            <w:r>
              <w:rPr>
                <w:b/>
                <w:color w:val="000000"/>
                <w:szCs w:val="21"/>
              </w:rPr>
              <w:t>O:29.10.07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30" w:type="dxa"/>
            <w:vAlign w:val="center"/>
          </w:tcPr>
          <w:p>
            <w:pPr>
              <w:spacing w:line="240" w:lineRule="exact"/>
              <w:jc w:val="center"/>
              <w:rPr>
                <w:b/>
                <w:color w:val="000000"/>
                <w:szCs w:val="21"/>
              </w:rPr>
            </w:pPr>
            <w:r>
              <w:rPr>
                <w:b/>
                <w:color w:val="000000"/>
                <w:szCs w:val="21"/>
              </w:rPr>
              <w:t>ISC-JSZJ-500</w:t>
            </w:r>
          </w:p>
          <w:p>
            <w:pPr>
              <w:spacing w:line="240" w:lineRule="exact"/>
              <w:jc w:val="center"/>
              <w:rPr>
                <w:b/>
                <w:color w:val="000000"/>
                <w:szCs w:val="21"/>
              </w:rPr>
            </w:pPr>
            <w:r>
              <w:rPr>
                <w:b/>
                <w:color w:val="000000"/>
                <w:szCs w:val="21"/>
              </w:rPr>
              <w:t>ISC-JSZJ-500</w:t>
            </w:r>
          </w:p>
          <w:p>
            <w:pPr>
              <w:spacing w:line="240" w:lineRule="exact"/>
              <w:jc w:val="center"/>
              <w:rPr>
                <w:b/>
                <w:color w:val="000000"/>
                <w:szCs w:val="21"/>
              </w:rPr>
            </w:pPr>
            <w:r>
              <w:rPr>
                <w:b/>
                <w:color w:val="000000"/>
                <w:szCs w:val="21"/>
              </w:rPr>
              <w:t>ISC-JSZJ-500</w:t>
            </w:r>
          </w:p>
          <w:p>
            <w:pPr>
              <w:spacing w:line="240" w:lineRule="exact"/>
              <w:jc w:val="center"/>
              <w:rPr>
                <w:b/>
                <w:color w:val="000000"/>
                <w:szCs w:val="21"/>
              </w:rPr>
            </w:pPr>
            <w:r>
              <w:rPr>
                <w:b/>
                <w:color w:val="000000"/>
                <w:szCs w:val="21"/>
              </w:rPr>
              <w:t>邢台天力铁路工务器材有限公司</w:t>
            </w:r>
          </w:p>
        </w:tc>
        <w:tc>
          <w:tcPr>
            <w:tcW w:w="1480" w:type="dxa"/>
            <w:vAlign w:val="center"/>
          </w:tcPr>
          <w:p>
            <w:pPr>
              <w:spacing w:line="240" w:lineRule="exact"/>
              <w:jc w:val="center"/>
              <w:rPr>
                <w:b/>
                <w:color w:val="000000"/>
                <w:szCs w:val="21"/>
              </w:rPr>
            </w:pPr>
            <w:r>
              <w:rPr>
                <w:b/>
                <w:color w:val="000000"/>
                <w:szCs w:val="21"/>
              </w:rPr>
              <w:t>Q:19.05.01A</w:t>
            </w:r>
          </w:p>
          <w:p>
            <w:pPr>
              <w:spacing w:line="240" w:lineRule="exact"/>
              <w:jc w:val="center"/>
              <w:rPr>
                <w:b/>
                <w:color w:val="000000"/>
                <w:szCs w:val="21"/>
              </w:rPr>
            </w:pPr>
            <w:r>
              <w:rPr>
                <w:b/>
                <w:color w:val="000000"/>
                <w:szCs w:val="21"/>
              </w:rPr>
              <w:t>E:19.05.01A</w:t>
            </w:r>
          </w:p>
          <w:p>
            <w:pPr>
              <w:spacing w:line="240" w:lineRule="exact"/>
              <w:jc w:val="center"/>
              <w:rPr>
                <w:b/>
                <w:color w:val="000000"/>
                <w:szCs w:val="21"/>
              </w:rPr>
            </w:pPr>
            <w:r>
              <w:rPr>
                <w:b/>
                <w:color w:val="000000"/>
                <w:szCs w:val="21"/>
              </w:rPr>
              <w:t>O:19.05.01A</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30" w:type="dxa"/>
            <w:vAlign w:val="center"/>
          </w:tcPr>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tc>
        <w:tc>
          <w:tcPr>
            <w:tcW w:w="148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30" w:type="dxa"/>
            <w:vAlign w:val="center"/>
          </w:tcPr>
          <w:p>
            <w:pPr>
              <w:rPr>
                <w:b/>
                <w:color w:val="000000"/>
                <w:szCs w:val="21"/>
              </w:rPr>
            </w:pPr>
            <w:r>
              <w:rPr>
                <w:rFonts w:hint="eastAsia"/>
                <w:b/>
                <w:color w:val="000000"/>
                <w:szCs w:val="21"/>
              </w:rPr>
              <w:t>工作单位</w:t>
            </w:r>
          </w:p>
        </w:tc>
        <w:tc>
          <w:tcPr>
            <w:tcW w:w="256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30" w:type="dxa"/>
            <w:vAlign w:val="center"/>
          </w:tcPr>
          <w:p>
            <w:pPr>
              <w:rPr>
                <w:b/>
                <w:color w:val="000000"/>
                <w:szCs w:val="21"/>
              </w:rPr>
            </w:pPr>
          </w:p>
        </w:tc>
        <w:tc>
          <w:tcPr>
            <w:tcW w:w="256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石家庄京铁腾飞工量具有限公司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河北省石家庄市裕华区西京北村方郄路158号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河北省石家庄市裕华区西京北村方郄路158号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李建迁</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18103312676</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李建迁</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李建迁</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rPr>
                <w:rFonts w:ascii="宋体" w:hAnsi="宋体"/>
                <w:b/>
                <w:color w:val="000000"/>
                <w:szCs w:val="21"/>
              </w:rPr>
            </w:pP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1.生产流程</w:t>
            </w:r>
            <w:r>
              <w:rPr>
                <w:rFonts w:hint="eastAsia" w:ascii="宋体"/>
                <w:color w:val="000000"/>
                <w:szCs w:val="21"/>
                <w:lang w:val="en-US" w:eastAsia="zh-CN"/>
              </w:rPr>
              <w:t>:</w:t>
            </w:r>
            <w:r>
              <w:rPr>
                <w:rFonts w:hint="eastAsia" w:ascii="宋体"/>
                <w:color w:val="000000"/>
                <w:szCs w:val="21"/>
              </w:rPr>
              <w:t>原材料---锯床---车床---磨床---钻床---检验----成品入库</w:t>
            </w:r>
          </w:p>
          <w:p>
            <w:pPr>
              <w:tabs>
                <w:tab w:val="left" w:pos="360"/>
              </w:tabs>
              <w:ind w:left="360" w:hanging="360"/>
              <w:rPr>
                <w:rFonts w:ascii="宋体"/>
                <w:color w:val="000000"/>
                <w:szCs w:val="21"/>
              </w:rPr>
            </w:pPr>
            <w:r>
              <w:rPr>
                <w:rFonts w:hint="eastAsia" w:ascii="宋体"/>
                <w:color w:val="000000"/>
                <w:szCs w:val="21"/>
              </w:rPr>
              <w:t>2.销售流程</w:t>
            </w:r>
            <w:r>
              <w:rPr>
                <w:rFonts w:hint="eastAsia" w:ascii="宋体"/>
                <w:color w:val="000000"/>
                <w:szCs w:val="21"/>
                <w:lang w:val="en-US" w:eastAsia="zh-CN"/>
              </w:rPr>
              <w:t>:</w:t>
            </w:r>
            <w:r>
              <w:rPr>
                <w:rFonts w:hint="eastAsia" w:ascii="宋体"/>
                <w:color w:val="000000"/>
                <w:szCs w:val="21"/>
              </w:rPr>
              <w:t>顾客需求-合同评审-签订合同-产品采购-供方发货-客户验收-售后服务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2" w:name="审核范围"/>
            <w:r>
              <w:rPr>
                <w:sz w:val="21"/>
                <w:szCs w:val="21"/>
              </w:rPr>
              <w:t>资质范围内铁路计量仪器（铁路轨距尺、铁路支距尺、铁路支距尺检定器）的生产及铁路线路工具（翻轨器、套筒扳手、钩锁器）的销售</w:t>
            </w:r>
            <w:bookmarkEnd w:id="32"/>
          </w:p>
        </w:tc>
        <w:tc>
          <w:tcPr>
            <w:tcW w:w="2006" w:type="dxa"/>
            <w:gridSpan w:val="3"/>
            <w:vAlign w:val="center"/>
          </w:tcPr>
          <w:p>
            <w:pPr>
              <w:spacing w:line="400" w:lineRule="exact"/>
              <w:rPr>
                <w:rFonts w:ascii="宋体" w:hAnsi="宋体"/>
                <w:b/>
                <w:color w:val="000000"/>
                <w:szCs w:val="21"/>
              </w:rPr>
            </w:pPr>
            <w:r>
              <w:rPr>
                <w:sz w:val="21"/>
                <w:szCs w:val="21"/>
              </w:rPr>
              <w:t>19.05.01A;29.10.07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资质范围内铁路计量仪器（铁路轨距尺、铁路支距尺、铁路支距尺检定器）的生产及铁路线路工具（翻轨器、套筒扳手、钩锁器）的销售所涉及场所的相关环境管理活动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19.05.01A;29.10.07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资质范围内铁路计量仪器（铁路轨距尺、铁路支距尺、铁路支距尺检定器）的生产及铁路线路工具（翻轨器、套筒扳手、钩锁器）的销售所涉及场所的相关</w:t>
            </w:r>
            <w:r>
              <w:rPr>
                <w:rFonts w:hint="eastAsia"/>
                <w:sz w:val="21"/>
                <w:szCs w:val="21"/>
                <w:lang w:val="en-US" w:eastAsia="zh-CN"/>
              </w:rPr>
              <w:t>职业健康安全</w:t>
            </w:r>
            <w:r>
              <w:rPr>
                <w:sz w:val="21"/>
                <w:szCs w:val="21"/>
              </w:rPr>
              <w:t>管理活动</w:t>
            </w:r>
          </w:p>
        </w:tc>
        <w:tc>
          <w:tcPr>
            <w:tcW w:w="2006" w:type="dxa"/>
            <w:gridSpan w:val="3"/>
            <w:vAlign w:val="center"/>
          </w:tcPr>
          <w:p>
            <w:pPr>
              <w:spacing w:line="400" w:lineRule="exact"/>
              <w:rPr>
                <w:rFonts w:ascii="宋体" w:hAnsi="宋体"/>
                <w:b/>
                <w:color w:val="000000"/>
                <w:szCs w:val="21"/>
              </w:rPr>
            </w:pPr>
            <w:r>
              <w:rPr>
                <w:sz w:val="21"/>
                <w:szCs w:val="21"/>
              </w:rPr>
              <w:t>19.05.01A;29.10.07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p>
            <w:pPr>
              <w:rPr>
                <w:rFonts w:hint="eastAsia" w:ascii="宋体" w:eastAsia="宋体"/>
                <w:color w:val="000000"/>
                <w:spacing w:val="-10"/>
                <w:szCs w:val="21"/>
                <w:lang w:val="en-US" w:eastAsia="zh-CN"/>
              </w:rPr>
            </w:pPr>
            <w:r>
              <w:rPr>
                <w:rFonts w:hint="eastAsia" w:ascii="宋体"/>
                <w:color w:val="000000"/>
                <w:szCs w:val="21"/>
                <w:lang w:val="en-US" w:eastAsia="zh-CN"/>
              </w:rPr>
              <w:t>变更为：</w:t>
            </w: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26"/>
        <w:gridCol w:w="1550"/>
        <w:gridCol w:w="610"/>
        <w:gridCol w:w="27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182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1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76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26" w:type="dxa"/>
          </w:tcPr>
          <w:p>
            <w:pPr>
              <w:spacing w:before="40" w:after="40"/>
              <w:rPr>
                <w:rFonts w:hint="eastAsia" w:eastAsia="黑体"/>
                <w:szCs w:val="21"/>
                <w:lang w:val="de-DE" w:eastAsia="ja-JP"/>
              </w:rPr>
            </w:pPr>
            <w:r>
              <w:rPr>
                <w:rFonts w:hint="eastAsia" w:eastAsia="黑体"/>
                <w:szCs w:val="21"/>
                <w:lang w:val="de-DE" w:eastAsia="ja-JP"/>
              </w:rPr>
              <w:t>石家庄京铁腾飞工量具有限公司</w:t>
            </w:r>
          </w:p>
          <w:p>
            <w:pPr>
              <w:spacing w:before="40" w:after="40"/>
              <w:rPr>
                <w:rFonts w:eastAsia="黑体"/>
                <w:szCs w:val="21"/>
                <w:lang w:val="de-DE" w:eastAsia="ja-JP"/>
              </w:rPr>
            </w:pPr>
            <w:r>
              <w:rPr>
                <w:rFonts w:hint="eastAsia" w:eastAsia="黑体"/>
                <w:szCs w:val="21"/>
                <w:lang w:val="de-DE" w:eastAsia="ja-JP"/>
              </w:rPr>
              <w:t>河北省石家庄市裕华区西京北村方郄路158号</w:t>
            </w:r>
          </w:p>
        </w:tc>
        <w:tc>
          <w:tcPr>
            <w:tcW w:w="1550" w:type="dxa"/>
          </w:tcPr>
          <w:p>
            <w:pPr>
              <w:spacing w:before="40" w:after="40"/>
              <w:rPr>
                <w:rFonts w:eastAsia="黑体"/>
                <w:szCs w:val="21"/>
                <w:lang w:val="de-DE" w:eastAsia="ja-JP"/>
              </w:rPr>
            </w:pPr>
            <w:r>
              <w:rPr>
                <w:rFonts w:hint="eastAsia" w:eastAsia="黑体"/>
                <w:szCs w:val="21"/>
                <w:lang w:val="de-DE" w:eastAsia="ja-JP"/>
              </w:rPr>
              <w:t>河北省石家庄市裕华区西京北村方郄路158号</w:t>
            </w:r>
          </w:p>
        </w:tc>
        <w:tc>
          <w:tcPr>
            <w:tcW w:w="610"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767" w:type="dxa"/>
            <w:vAlign w:val="center"/>
          </w:tcPr>
          <w:p>
            <w:pPr>
              <w:pStyle w:val="20"/>
              <w:rPr>
                <w:rFonts w:hint="eastAsia" w:eastAsia="黑体" w:cs="Arial"/>
                <w:sz w:val="21"/>
                <w:szCs w:val="21"/>
                <w:lang w:val="en-US" w:eastAsia="zh-CN"/>
              </w:rPr>
            </w:pP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3</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年12月12日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检测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2022-03-1</w:t>
            </w:r>
            <w:bookmarkEnd w:id="33"/>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84"/>
        <w:gridCol w:w="6086"/>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784" w:type="dxa"/>
            <w:vAlign w:val="center"/>
          </w:tcPr>
          <w:p>
            <w:pPr>
              <w:spacing w:line="400" w:lineRule="exact"/>
              <w:rPr>
                <w:rFonts w:ascii="宋体"/>
                <w:b/>
                <w:color w:val="000000"/>
                <w:szCs w:val="21"/>
              </w:rPr>
            </w:pPr>
          </w:p>
        </w:tc>
        <w:tc>
          <w:tcPr>
            <w:tcW w:w="6086"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784" w:type="dxa"/>
            <w:vAlign w:val="center"/>
          </w:tcPr>
          <w:p>
            <w:pPr>
              <w:spacing w:line="400" w:lineRule="exact"/>
              <w:rPr>
                <w:rFonts w:ascii="宋体"/>
                <w:b/>
                <w:color w:val="000000"/>
                <w:szCs w:val="21"/>
              </w:rPr>
            </w:pPr>
            <w:r>
              <w:rPr>
                <w:rFonts w:ascii="宋体" w:hAnsi="宋体"/>
                <w:b/>
                <w:color w:val="000000"/>
                <w:szCs w:val="21"/>
              </w:rPr>
              <w:t>QMS</w:t>
            </w:r>
          </w:p>
        </w:tc>
        <w:tc>
          <w:tcPr>
            <w:tcW w:w="6086" w:type="dxa"/>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b/>
                <w:color w:val="000000"/>
                <w:sz w:val="18"/>
                <w:szCs w:val="18"/>
              </w:rPr>
            </w:pP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tc>
        <w:tc>
          <w:tcPr>
            <w:tcW w:w="1541" w:type="dxa"/>
            <w:vAlign w:val="center"/>
          </w:tcPr>
          <w:p>
            <w:pPr>
              <w:spacing w:line="400" w:lineRule="exact"/>
              <w:rPr>
                <w:rFonts w:ascii="宋体" w:hAnsi="宋体"/>
                <w:b/>
                <w:color w:val="000000"/>
                <w:szCs w:val="21"/>
              </w:rPr>
            </w:pPr>
            <w:r>
              <w:rPr>
                <w:sz w:val="20"/>
              </w:rPr>
              <w:t>19.05.01A;29.10.07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04" w:type="dxa"/>
            <w:vMerge w:val="continue"/>
            <w:vAlign w:val="center"/>
          </w:tcPr>
          <w:p>
            <w:pPr>
              <w:spacing w:line="400" w:lineRule="exact"/>
              <w:rPr>
                <w:rFonts w:ascii="宋体" w:hAnsi="宋体"/>
                <w:b/>
                <w:color w:val="000000"/>
                <w:szCs w:val="21"/>
              </w:rPr>
            </w:pPr>
          </w:p>
        </w:tc>
        <w:tc>
          <w:tcPr>
            <w:tcW w:w="784" w:type="dxa"/>
            <w:vAlign w:val="center"/>
          </w:tcPr>
          <w:p>
            <w:pPr>
              <w:spacing w:line="400" w:lineRule="exact"/>
              <w:rPr>
                <w:rFonts w:ascii="宋体" w:hAnsi="宋体"/>
                <w:b/>
                <w:color w:val="000000"/>
                <w:szCs w:val="21"/>
              </w:rPr>
            </w:pPr>
            <w:r>
              <w:rPr>
                <w:rFonts w:ascii="宋体" w:hAnsi="宋体"/>
                <w:b/>
                <w:color w:val="000000"/>
                <w:szCs w:val="21"/>
              </w:rPr>
              <w:t>EMS</w:t>
            </w:r>
          </w:p>
        </w:tc>
        <w:tc>
          <w:tcPr>
            <w:tcW w:w="6086" w:type="dxa"/>
            <w:vAlign w:val="center"/>
          </w:tcPr>
          <w:p>
            <w:pPr>
              <w:spacing w:line="400" w:lineRule="exact"/>
              <w:rPr>
                <w:rFonts w:ascii="宋体" w:hAnsi="宋体"/>
                <w:b/>
                <w:color w:val="000000"/>
                <w:sz w:val="18"/>
                <w:szCs w:val="18"/>
              </w:rPr>
            </w:pP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）的生产及铁路线路工具（翻轨器、套筒扳手、钩锁器）的销售所涉及场所的相关环境管理活动</w:t>
            </w:r>
          </w:p>
        </w:tc>
        <w:tc>
          <w:tcPr>
            <w:tcW w:w="1541" w:type="dxa"/>
            <w:vAlign w:val="center"/>
          </w:tcPr>
          <w:p>
            <w:pPr>
              <w:spacing w:line="400" w:lineRule="exact"/>
              <w:rPr>
                <w:rFonts w:ascii="宋体" w:hAnsi="宋体"/>
                <w:b/>
                <w:color w:val="000000"/>
                <w:szCs w:val="21"/>
              </w:rPr>
            </w:pPr>
            <w:r>
              <w:rPr>
                <w:sz w:val="20"/>
              </w:rPr>
              <w:t>19.05.01A;29.10.07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784" w:type="dxa"/>
            <w:vAlign w:val="center"/>
          </w:tcPr>
          <w:p>
            <w:pPr>
              <w:spacing w:line="400" w:lineRule="exact"/>
              <w:rPr>
                <w:rFonts w:ascii="宋体" w:hAnsi="宋体"/>
                <w:b/>
                <w:color w:val="000000"/>
                <w:szCs w:val="21"/>
              </w:rPr>
            </w:pPr>
            <w:r>
              <w:rPr>
                <w:rFonts w:ascii="宋体" w:hAnsi="宋体"/>
                <w:b/>
                <w:color w:val="000000"/>
                <w:szCs w:val="21"/>
              </w:rPr>
              <w:t>OHSMS</w:t>
            </w:r>
          </w:p>
        </w:tc>
        <w:tc>
          <w:tcPr>
            <w:tcW w:w="6086" w:type="dxa"/>
            <w:vAlign w:val="center"/>
          </w:tcPr>
          <w:p>
            <w:pPr>
              <w:spacing w:line="400" w:lineRule="exact"/>
              <w:rPr>
                <w:rFonts w:ascii="宋体" w:hAnsi="宋体"/>
                <w:b/>
                <w:color w:val="000000"/>
                <w:sz w:val="18"/>
                <w:szCs w:val="18"/>
              </w:rPr>
            </w:pP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）的生产及铁路线路工具（翻轨器、套筒扳手、钩锁器）的销售所涉及场所的相关</w:t>
            </w:r>
            <w:r>
              <w:rPr>
                <w:rFonts w:hint="eastAsia"/>
                <w:sz w:val="18"/>
                <w:szCs w:val="18"/>
                <w:lang w:val="en-US" w:eastAsia="zh-CN"/>
              </w:rPr>
              <w:t>职业健康安全</w:t>
            </w:r>
            <w:r>
              <w:rPr>
                <w:sz w:val="18"/>
                <w:szCs w:val="18"/>
              </w:rPr>
              <w:t>管理活动</w:t>
            </w:r>
          </w:p>
        </w:tc>
        <w:tc>
          <w:tcPr>
            <w:tcW w:w="1541" w:type="dxa"/>
            <w:vAlign w:val="center"/>
          </w:tcPr>
          <w:p>
            <w:pPr>
              <w:spacing w:line="400" w:lineRule="exact"/>
              <w:rPr>
                <w:rFonts w:ascii="宋体" w:hAnsi="宋体"/>
                <w:b/>
                <w:color w:val="000000"/>
                <w:szCs w:val="21"/>
              </w:rPr>
            </w:pPr>
            <w:r>
              <w:rPr>
                <w:sz w:val="20"/>
              </w:rPr>
              <w:t>19.05.01A;29.10.07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784"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6086" w:type="dxa"/>
            <w:vAlign w:val="center"/>
          </w:tcPr>
          <w:p>
            <w:pPr>
              <w:spacing w:line="400" w:lineRule="exact"/>
              <w:rPr>
                <w:rFonts w:ascii="宋体" w:hAnsi="宋体"/>
                <w:b/>
                <w:color w:val="000000"/>
                <w:sz w:val="18"/>
                <w:szCs w:val="18"/>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784"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6086"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784"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86"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784" w:type="dxa"/>
            <w:vAlign w:val="center"/>
          </w:tcPr>
          <w:p>
            <w:pPr>
              <w:spacing w:line="400" w:lineRule="exact"/>
              <w:rPr>
                <w:rFonts w:ascii="宋体" w:hAnsi="宋体"/>
                <w:b/>
                <w:color w:val="000000"/>
                <w:szCs w:val="21"/>
              </w:rPr>
            </w:pPr>
          </w:p>
        </w:tc>
        <w:tc>
          <w:tcPr>
            <w:tcW w:w="6086"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1750060</wp:posOffset>
            </wp:positionH>
            <wp:positionV relativeFrom="paragraph">
              <wp:posOffset>198120</wp:posOffset>
            </wp:positionV>
            <wp:extent cx="1007110" cy="4851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903" w:firstLineChars="28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2022.3.12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ascii="宋体" w:hAnsi="宋体" w:eastAsia="宋体"/>
                <w:sz w:val="21"/>
                <w:lang w:eastAsia="zh-CN"/>
              </w:rPr>
              <w:drawing>
                <wp:anchor distT="0" distB="0" distL="114300" distR="114300" simplePos="0" relativeHeight="251663360" behindDoc="0" locked="0" layoutInCell="1" allowOverlap="1">
                  <wp:simplePos x="0" y="0"/>
                  <wp:positionH relativeFrom="column">
                    <wp:posOffset>848360</wp:posOffset>
                  </wp:positionH>
                  <wp:positionV relativeFrom="paragraph">
                    <wp:posOffset>156845</wp:posOffset>
                  </wp:positionV>
                  <wp:extent cx="1007110" cy="48514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965200</wp:posOffset>
                  </wp:positionH>
                  <wp:positionV relativeFrom="paragraph">
                    <wp:posOffset>40640</wp:posOffset>
                  </wp:positionV>
                  <wp:extent cx="940435" cy="374650"/>
                  <wp:effectExtent l="0" t="0" r="12065" b="635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940435" cy="37465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bookmarkStart w:id="34" w:name="_GoBack"/>
            <w:bookmarkEnd w:id="34"/>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1"/>
                <w:lang w:eastAsia="zh-CN"/>
              </w:rPr>
              <w:drawing>
                <wp:anchor distT="0" distB="0" distL="114300" distR="114300" simplePos="0" relativeHeight="251664384" behindDoc="0" locked="0" layoutInCell="1" allowOverlap="1">
                  <wp:simplePos x="0" y="0"/>
                  <wp:positionH relativeFrom="column">
                    <wp:posOffset>416560</wp:posOffset>
                  </wp:positionH>
                  <wp:positionV relativeFrom="paragraph">
                    <wp:posOffset>47625</wp:posOffset>
                  </wp:positionV>
                  <wp:extent cx="1007110" cy="48514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FE737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2022-03-28T07:17:16Z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