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86360</wp:posOffset>
            </wp:positionH>
            <wp:positionV relativeFrom="paragraph">
              <wp:posOffset>150495</wp:posOffset>
            </wp:positionV>
            <wp:extent cx="6155055" cy="9380855"/>
            <wp:effectExtent l="0" t="0" r="4445" b="4445"/>
            <wp:wrapNone/>
            <wp:docPr id="1" name="图片 1" descr="新文档 2022-03-08 16.39.49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8 16.39.49_18"/>
                    <pic:cNvPicPr>
                      <a:picLocks noChangeAspect="1"/>
                    </pic:cNvPicPr>
                  </pic:nvPicPr>
                  <pic:blipFill>
                    <a:blip r:embed="rId6"/>
                    <a:stretch>
                      <a:fillRect/>
                    </a:stretch>
                  </pic:blipFill>
                  <pic:spPr>
                    <a:xfrm>
                      <a:off x="0" y="0"/>
                      <a:ext cx="6155055" cy="938085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石家庄银兴物业服务有限公司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0126-2022-QEO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AD6802"/>
    <w:rsid w:val="6EB65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462</Words>
  <Characters>630</Characters>
  <Lines>5</Lines>
  <Paragraphs>1</Paragraphs>
  <TotalTime>1</TotalTime>
  <ScaleCrop>false</ScaleCrop>
  <LinksUpToDate>false</LinksUpToDate>
  <CharactersWithSpaces>634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2022-03-13T11:44:30Z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