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0155-2022-Q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江西科鸿新材料科技有限公司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江西科鸿新材料科技有限公司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江西省九江市永修县云山经济开发区星火工业园</w:t>
            </w:r>
            <w:bookmarkEnd w:id="6"/>
          </w:p>
        </w:tc>
        <w:tc>
          <w:tcPr>
            <w:tcW w:w="1242" w:type="dxa"/>
            <w:vMerge w:val="restart"/>
            <w:vAlign w:val="center"/>
          </w:tcPr>
          <w:p>
            <w:r>
              <w:rPr>
                <w:rFonts w:hint="eastAsia"/>
              </w:rPr>
              <w:t>邮编</w:t>
            </w:r>
          </w:p>
        </w:tc>
        <w:tc>
          <w:tcPr>
            <w:tcW w:w="1771" w:type="dxa"/>
          </w:tcPr>
          <w:p>
            <w:bookmarkStart w:id="7" w:name="注册邮编"/>
            <w:r>
              <w:t>330321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江西省九江市永修县云山经济开发区星火工业园</w:t>
            </w:r>
            <w:bookmarkEnd w:id="8"/>
          </w:p>
        </w:tc>
        <w:tc>
          <w:tcPr>
            <w:tcW w:w="1242" w:type="dxa"/>
            <w:vMerge w:val="continue"/>
            <w:vAlign w:val="center"/>
          </w:tcPr>
          <w:p/>
        </w:tc>
        <w:tc>
          <w:tcPr>
            <w:tcW w:w="1771" w:type="dxa"/>
          </w:tcPr>
          <w:p>
            <w:bookmarkStart w:id="9" w:name="办公邮编"/>
            <w:r>
              <w:t>330321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黄彭量</w:t>
            </w:r>
            <w:bookmarkEnd w:id="10"/>
          </w:p>
        </w:tc>
        <w:tc>
          <w:tcPr>
            <w:tcW w:w="1313" w:type="dxa"/>
            <w:vAlign w:val="center"/>
          </w:tcPr>
          <w:p>
            <w:r>
              <w:rPr>
                <w:rFonts w:hint="eastAsia"/>
              </w:rPr>
              <w:t>电话.</w:t>
            </w:r>
          </w:p>
        </w:tc>
        <w:tc>
          <w:tcPr>
            <w:tcW w:w="2180" w:type="dxa"/>
            <w:vAlign w:val="center"/>
          </w:tcPr>
          <w:p>
            <w:bookmarkStart w:id="11" w:name="联系人电话"/>
            <w:r>
              <w:t>0792-3052788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黄岳平</w:t>
            </w:r>
            <w:bookmarkEnd w:id="13"/>
          </w:p>
        </w:tc>
        <w:tc>
          <w:tcPr>
            <w:tcW w:w="1313" w:type="dxa"/>
            <w:vAlign w:val="center"/>
          </w:tcPr>
          <w:p>
            <w:r>
              <w:rPr>
                <w:rFonts w:hint="eastAsia"/>
              </w:rPr>
              <w:t>管理者代表</w:t>
            </w:r>
          </w:p>
        </w:tc>
        <w:tc>
          <w:tcPr>
            <w:tcW w:w="2180" w:type="dxa"/>
          </w:tcPr>
          <w:p>
            <w:bookmarkStart w:id="14" w:name="管理者代表"/>
            <w:r>
              <w:t>黄彭量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ind w:firstLine="420" w:firstLineChars="200"/>
              <w:rPr>
                <w:rFonts w:hint="eastAsia" w:ascii="宋体" w:hAnsi="宋体"/>
                <w:highlight w:val="none"/>
                <w:lang w:eastAsia="zh-CN"/>
              </w:rPr>
            </w:pPr>
            <w:r>
              <w:rPr>
                <w:rFonts w:hint="eastAsia" w:ascii="宋体" w:hAnsi="宋体"/>
                <w:highlight w:val="none"/>
              </w:rPr>
              <w:t>二氧化硅超微细白炭黑、消光粉</w:t>
            </w:r>
            <w:r>
              <w:rPr>
                <w:rFonts w:hint="eastAsia" w:ascii="宋体" w:hAnsi="宋体"/>
                <w:highlight w:val="none"/>
                <w:lang w:eastAsia="zh-CN"/>
              </w:rPr>
              <w:t>：</w:t>
            </w:r>
          </w:p>
          <w:p>
            <w:pPr>
              <w:spacing w:line="360" w:lineRule="auto"/>
              <w:ind w:firstLine="420" w:firstLineChars="200"/>
              <w:rPr>
                <w:rFonts w:hint="eastAsia" w:ascii="Times New Roman" w:hAnsi="Times New Roman" w:eastAsia="宋体" w:cs="Times New Roman"/>
                <w:szCs w:val="22"/>
                <w:highlight w:val="none"/>
                <w:lang w:val="en-US" w:eastAsia="zh-CN"/>
              </w:rPr>
            </w:pPr>
            <w:r>
              <w:rPr>
                <w:rFonts w:hint="eastAsia" w:ascii="Times New Roman" w:hAnsi="Times New Roman" w:eastAsia="宋体" w:cs="Times New Roman"/>
                <w:szCs w:val="22"/>
                <w:highlight w:val="none"/>
                <w:lang w:val="en-US" w:eastAsia="zh-CN"/>
              </w:rPr>
              <w:t>投料——粉碎——布袋集料——成品检验——装袋——包装——入库</w:t>
            </w:r>
          </w:p>
          <w:p>
            <w:pPr>
              <w:spacing w:line="360" w:lineRule="auto"/>
              <w:ind w:firstLine="420" w:firstLineChars="200"/>
              <w:rPr>
                <w:rFonts w:hint="eastAsia" w:eastAsia="宋体"/>
                <w:highlight w:val="none"/>
                <w:lang w:val="en-US" w:eastAsia="zh-CN"/>
              </w:rPr>
            </w:pPr>
            <w:r>
              <w:rPr>
                <w:rFonts w:hint="eastAsia" w:ascii="宋体" w:hAnsi="宋体"/>
                <w:highlight w:val="none"/>
              </w:rPr>
              <w:t>改性白炭黑</w:t>
            </w:r>
            <w:r>
              <w:rPr>
                <w:rFonts w:hint="eastAsia" w:ascii="宋体" w:hAnsi="宋体"/>
                <w:highlight w:val="none"/>
                <w:lang w:eastAsia="zh-CN"/>
              </w:rPr>
              <w:t>：</w:t>
            </w:r>
          </w:p>
          <w:p>
            <w:pPr>
              <w:spacing w:line="360" w:lineRule="auto"/>
              <w:ind w:firstLine="420" w:firstLineChars="200"/>
              <w:rPr>
                <w:rFonts w:hint="eastAsia" w:ascii="Times New Roman" w:hAnsi="Times New Roman" w:eastAsia="宋体" w:cs="Times New Roman"/>
                <w:szCs w:val="22"/>
                <w:highlight w:val="none"/>
                <w:lang w:val="en-US" w:eastAsia="zh-CN"/>
              </w:rPr>
            </w:pPr>
            <w:r>
              <w:rPr>
                <w:rFonts w:hint="eastAsia"/>
                <w:highlight w:val="none"/>
                <w:lang w:val="en-US" w:eastAsia="zh-CN"/>
              </w:rPr>
              <w:t>投料（超微细白炭黑、偶联剂喷雾状）——混合——粉碎——</w:t>
            </w:r>
            <w:r>
              <w:rPr>
                <w:rFonts w:hint="eastAsia" w:ascii="Times New Roman" w:hAnsi="Times New Roman" w:eastAsia="宋体" w:cs="Times New Roman"/>
                <w:szCs w:val="22"/>
                <w:highlight w:val="none"/>
                <w:lang w:val="en-US" w:eastAsia="zh-CN"/>
              </w:rPr>
              <w:t>布袋集料——成品检验——装袋——包装——入库</w:t>
            </w:r>
          </w:p>
          <w:p>
            <w:pPr>
              <w:spacing w:line="360" w:lineRule="auto"/>
              <w:ind w:firstLine="420" w:firstLineChars="200"/>
            </w:pPr>
            <w:r>
              <w:rPr>
                <w:rFonts w:hint="eastAsia" w:ascii="Times New Roman" w:hAnsi="Times New Roman" w:cs="Times New Roman"/>
                <w:szCs w:val="22"/>
                <w:highlight w:val="none"/>
                <w:lang w:val="en-US" w:eastAsia="zh-CN"/>
              </w:rPr>
              <w:t>关键过程为：粉</w:t>
            </w:r>
            <w:r>
              <w:rPr>
                <w:rFonts w:hint="default" w:ascii="Times New Roman" w:hAnsi="Times New Roman" w:cs="Times New Roman"/>
                <w:szCs w:val="22"/>
                <w:highlight w:val="none"/>
                <w:lang w:val="en-US" w:eastAsia="zh-CN"/>
              </w:rPr>
              <w:t>碎</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2022年03月01日 上午至2022年03月02日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二氧化硅超微细白炭黑、改性白炭黑、消光粉的生产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12.05.04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center"/>
          </w:tcPr>
          <w:p>
            <w:pPr>
              <w:jc w:val="both"/>
            </w:pPr>
            <w:r>
              <w:rPr>
                <w:rFonts w:hint="eastAsia"/>
                <w:szCs w:val="21"/>
                <w:highlight w:val="none"/>
              </w:rPr>
              <w:t>2018年7月1</w:t>
            </w:r>
            <w:r>
              <w:rPr>
                <w:rFonts w:hint="eastAsia"/>
                <w:szCs w:val="21"/>
                <w:highlight w:val="none"/>
                <w:lang w:val="en-US" w:eastAsia="zh-CN"/>
              </w:rPr>
              <w:t>0</w:t>
            </w:r>
            <w:r>
              <w:rPr>
                <w:rFonts w:hint="eastAsia"/>
                <w:szCs w:val="21"/>
                <w:highlight w:val="none"/>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2021年07月09日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bCs/>
                <w:sz w:val="24"/>
              </w:rPr>
              <w:t>2022</w:t>
            </w:r>
            <w:r>
              <w:rPr>
                <w:rFonts w:hint="eastAsia"/>
              </w:rPr>
              <w:t>年</w:t>
            </w:r>
            <w:r>
              <w:rPr>
                <w:rFonts w:hint="eastAsia"/>
                <w:bCs/>
                <w:sz w:val="24"/>
              </w:rPr>
              <w:t>03</w:t>
            </w:r>
            <w:r>
              <w:rPr>
                <w:rFonts w:hint="eastAsia"/>
              </w:rPr>
              <w:t>月</w:t>
            </w:r>
            <w:r>
              <w:rPr>
                <w:rFonts w:hint="eastAsia"/>
                <w:bCs/>
                <w:sz w:val="24"/>
              </w:rPr>
              <w:t>06</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ascii="宋体" w:hAnsi="宋体"/>
                <w:szCs w:val="21"/>
              </w:rPr>
            </w:pPr>
            <w:r>
              <w:rPr>
                <w:rFonts w:ascii="宋体" w:hAnsi="宋体"/>
                <w:szCs w:val="21"/>
              </w:rPr>
              <w:t>江西科鸿新材料科技有限公司</w:t>
            </w:r>
          </w:p>
          <w:p>
            <w:pPr>
              <w:rPr>
                <w:lang w:val="de-DE" w:eastAsia="ja-JP"/>
              </w:rPr>
            </w:pPr>
            <w:r>
              <w:t>江西省九江市永修县云山经济开发区星火工业园</w:t>
            </w:r>
          </w:p>
        </w:tc>
        <w:tc>
          <w:tcPr>
            <w:tcW w:w="2267" w:type="dxa"/>
          </w:tcPr>
          <w:p>
            <w:pPr>
              <w:rPr>
                <w:lang w:val="de-DE" w:eastAsia="ja-JP"/>
              </w:rPr>
            </w:pPr>
            <w:r>
              <w:t>江西省九江市永修县云山经济开发区星火工业园</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lang w:eastAsia="ja-JP"/>
              </w:rPr>
            </w:pPr>
            <w:r>
              <w:rPr>
                <w:rFonts w:hint="eastAsia" w:ascii="宋体" w:hAnsi="宋体"/>
              </w:rPr>
              <w:t>二氧化硅超微细白炭黑、改性白炭黑、消光粉的生产</w:t>
            </w:r>
          </w:p>
        </w:tc>
        <w:tc>
          <w:tcPr>
            <w:tcW w:w="669" w:type="dxa"/>
            <w:vAlign w:val="center"/>
          </w:tcPr>
          <w:p>
            <w:pPr>
              <w:rPr>
                <w:rFonts w:hint="eastAsia" w:eastAsia="宋体"/>
                <w:lang w:val="en-US" w:eastAsia="zh-CN"/>
              </w:rPr>
            </w:pPr>
            <w:r>
              <w:rPr>
                <w:rFonts w:hint="eastAsia"/>
                <w:lang w:val="en-US" w:eastAsia="zh-CN"/>
              </w:rPr>
              <w:t>Q</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tc>
        <w:tc>
          <w:tcPr>
            <w:tcW w:w="2179" w:type="dxa"/>
            <w:vAlign w:val="center"/>
          </w:tcPr>
          <w:p>
            <w:r>
              <w:t>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李双</w:t>
            </w:r>
          </w:p>
        </w:tc>
        <w:tc>
          <w:tcPr>
            <w:tcW w:w="1089" w:type="dxa"/>
            <w:vAlign w:val="center"/>
          </w:tcPr>
          <w:p>
            <w:r>
              <w:t>组员</w:t>
            </w:r>
          </w:p>
        </w:tc>
        <w:tc>
          <w:tcPr>
            <w:tcW w:w="711" w:type="dxa"/>
            <w:vAlign w:val="center"/>
          </w:tcPr>
          <w:p>
            <w:r>
              <w:t>女</w:t>
            </w:r>
          </w:p>
        </w:tc>
        <w:tc>
          <w:tcPr>
            <w:tcW w:w="3870" w:type="dxa"/>
            <w:vAlign w:val="center"/>
          </w:tcPr>
          <w:p>
            <w:r>
              <w:t>2021-N0QMS-1287699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1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0"/>
        <w:gridCol w:w="2768"/>
        <w:gridCol w:w="2764"/>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70" w:type="dxa"/>
            <w:vAlign w:val="center"/>
          </w:tcPr>
          <w:p>
            <w:pPr>
              <w:rPr>
                <w:rFonts w:ascii="宋体"/>
                <w:b/>
                <w:color w:val="0000FF"/>
                <w:szCs w:val="21"/>
              </w:rPr>
            </w:pPr>
            <w:r>
              <w:rPr>
                <w:rFonts w:hint="eastAsia" w:ascii="宋体"/>
                <w:b/>
                <w:color w:val="0000FF"/>
                <w:szCs w:val="21"/>
              </w:rPr>
              <w:t>突发事件的处置措施</w:t>
            </w:r>
          </w:p>
        </w:tc>
        <w:tc>
          <w:tcPr>
            <w:tcW w:w="8340"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70" w:type="dxa"/>
            <w:vMerge w:val="restart"/>
            <w:vAlign w:val="center"/>
          </w:tcPr>
          <w:p>
            <w:pPr>
              <w:rPr>
                <w:rFonts w:ascii="宋体"/>
                <w:b/>
                <w:color w:val="0000FF"/>
                <w:szCs w:val="21"/>
              </w:rPr>
            </w:pPr>
            <w:r>
              <w:rPr>
                <w:rFonts w:hint="eastAsia"/>
                <w:b/>
                <w:bCs/>
                <w:color w:val="0000FF"/>
              </w:rPr>
              <w:t>远程审核的有效性评价（适用时）</w:t>
            </w:r>
          </w:p>
        </w:tc>
        <w:tc>
          <w:tcPr>
            <w:tcW w:w="8340"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70" w:type="dxa"/>
            <w:vMerge w:val="continue"/>
            <w:vAlign w:val="center"/>
          </w:tcPr>
          <w:p>
            <w:pPr>
              <w:rPr>
                <w:rFonts w:ascii="宋体"/>
                <w:b/>
                <w:color w:val="0000FF"/>
                <w:szCs w:val="21"/>
              </w:rPr>
            </w:pPr>
          </w:p>
        </w:tc>
        <w:tc>
          <w:tcPr>
            <w:tcW w:w="8340"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70" w:type="dxa"/>
          </w:tcPr>
          <w:p>
            <w:r>
              <w:rPr>
                <w:rFonts w:hint="eastAsia"/>
              </w:rPr>
              <w:t>审核组长签字</w:t>
            </w:r>
          </w:p>
        </w:tc>
        <w:tc>
          <w:tcPr>
            <w:tcW w:w="2768"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269875</wp:posOffset>
                  </wp:positionH>
                  <wp:positionV relativeFrom="paragraph">
                    <wp:posOffset>24765</wp:posOffset>
                  </wp:positionV>
                  <wp:extent cx="865505" cy="521335"/>
                  <wp:effectExtent l="0" t="0" r="10795" b="12065"/>
                  <wp:wrapNone/>
                  <wp:docPr id="1"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65505" cy="52133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808"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2022.3.3</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u w:val="single"/>
              </w:rPr>
              <w:t>科技领先、产品创优、用户满意、诚信双赢</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highlight w:val="none"/>
                      <w:lang w:val="en-US" w:eastAsia="zh-CN"/>
                    </w:rPr>
                    <w:t>政策影响和经济发展的走势</w:t>
                  </w:r>
                </w:p>
              </w:tc>
              <w:tc>
                <w:tcPr>
                  <w:tcW w:w="3965" w:type="dxa"/>
                </w:tcPr>
                <w:p>
                  <w:pPr>
                    <w:shd w:val="clear" w:color="auto" w:fill="C7DAF1" w:themeFill="text2" w:themeFillTint="32"/>
                    <w:rPr>
                      <w:rFonts w:hint="eastAsia" w:eastAsia="宋体"/>
                      <w:lang w:val="en-US" w:eastAsia="zh-CN"/>
                    </w:rPr>
                  </w:pPr>
                  <w:r>
                    <w:rPr>
                      <w:rFonts w:hint="eastAsia"/>
                      <w:lang w:val="en-US" w:eastAsia="zh-CN"/>
                    </w:rPr>
                    <w:t>建立管理体系</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2"/>
              <w:gridCol w:w="3015"/>
              <w:gridCol w:w="1230"/>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2"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01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23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0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2" w:type="dxa"/>
                  <w:shd w:val="clear" w:color="auto" w:fill="auto"/>
                </w:tcPr>
                <w:p>
                  <w:pPr>
                    <w:spacing w:line="360" w:lineRule="auto"/>
                  </w:pPr>
                  <w:r>
                    <w:rPr>
                      <w:rFonts w:hint="eastAsia" w:ascii="Times New Roman" w:hAnsi="Times New Roman" w:eastAsia="宋体" w:cs="Times New Roman"/>
                      <w:sz w:val="21"/>
                      <w:szCs w:val="21"/>
                      <w:highlight w:val="none"/>
                      <w:lang w:val="en-US" w:eastAsia="zh-CN"/>
                    </w:rPr>
                    <w:t>产品一次检验合格率≥95%</w:t>
                  </w:r>
                </w:p>
              </w:tc>
              <w:tc>
                <w:tcPr>
                  <w:tcW w:w="3015" w:type="dxa"/>
                  <w:shd w:val="clear" w:color="auto" w:fill="auto"/>
                  <w:vAlign w:val="center"/>
                </w:tcPr>
                <w:p>
                  <w:pPr>
                    <w:shd w:val="clear" w:color="auto" w:fill="C7DAF1" w:themeFill="text2" w:themeFillTint="32"/>
                    <w:rPr>
                      <w:lang w:val="en-GB"/>
                    </w:rPr>
                  </w:pPr>
                  <w:r>
                    <w:rPr>
                      <w:rFonts w:hint="eastAsia" w:ascii="宋体" w:hAnsi="宋体"/>
                      <w:color w:val="000000"/>
                      <w:sz w:val="21"/>
                      <w:szCs w:val="24"/>
                    </w:rPr>
                    <w:t>产品一次检验合格率=产品检验数量÷产品需检总数× 100%</w:t>
                  </w:r>
                </w:p>
              </w:tc>
              <w:tc>
                <w:tcPr>
                  <w:tcW w:w="123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生产部</w:t>
                  </w:r>
                </w:p>
              </w:tc>
              <w:tc>
                <w:tcPr>
                  <w:tcW w:w="150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2" w:type="dxa"/>
                  <w:shd w:val="clear" w:color="auto" w:fill="auto"/>
                </w:tcPr>
                <w:p>
                  <w:pPr>
                    <w:shd w:val="clear" w:color="auto" w:fill="C7DAF1" w:themeFill="text2" w:themeFillTint="32"/>
                  </w:pPr>
                  <w:r>
                    <w:rPr>
                      <w:rFonts w:hint="eastAsia" w:ascii="Times New Roman" w:hAnsi="Times New Roman" w:eastAsia="宋体" w:cs="Times New Roman"/>
                      <w:sz w:val="21"/>
                      <w:szCs w:val="21"/>
                      <w:highlight w:val="none"/>
                      <w:lang w:val="en-US" w:eastAsia="zh-CN"/>
                    </w:rPr>
                    <w:t>产品出厂合格率100%</w:t>
                  </w:r>
                </w:p>
              </w:tc>
              <w:tc>
                <w:tcPr>
                  <w:tcW w:w="3015" w:type="dxa"/>
                  <w:shd w:val="clear" w:color="auto" w:fill="auto"/>
                  <w:vAlign w:val="center"/>
                </w:tcPr>
                <w:p>
                  <w:pPr>
                    <w:shd w:val="clear" w:color="auto" w:fill="C7DAF1" w:themeFill="text2" w:themeFillTint="32"/>
                    <w:rPr>
                      <w:rFonts w:ascii="宋体" w:hAnsi="宋体"/>
                    </w:rPr>
                  </w:pPr>
                  <w:r>
                    <w:rPr>
                      <w:rFonts w:hint="eastAsia" w:ascii="宋体" w:hAnsi="宋体"/>
                      <w:color w:val="000000"/>
                      <w:sz w:val="21"/>
                      <w:szCs w:val="24"/>
                    </w:rPr>
                    <w:t>合格率=产品检验数量÷产品需检总数× 100%</w:t>
                  </w:r>
                </w:p>
              </w:tc>
              <w:tc>
                <w:tcPr>
                  <w:tcW w:w="123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生产部</w:t>
                  </w:r>
                </w:p>
              </w:tc>
              <w:tc>
                <w:tcPr>
                  <w:tcW w:w="150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2" w:type="dxa"/>
                  <w:shd w:val="clear" w:color="auto" w:fill="auto"/>
                </w:tcPr>
                <w:p>
                  <w:pPr>
                    <w:shd w:val="clear" w:color="auto" w:fill="C7DAF1" w:themeFill="text2" w:themeFillTint="32"/>
                  </w:pPr>
                  <w:r>
                    <w:rPr>
                      <w:rFonts w:hint="eastAsia" w:ascii="Times New Roman" w:hAnsi="Times New Roman" w:eastAsia="宋体" w:cs="Times New Roman"/>
                      <w:sz w:val="21"/>
                      <w:szCs w:val="21"/>
                      <w:highlight w:val="none"/>
                      <w:lang w:val="en-US" w:eastAsia="zh-CN"/>
                    </w:rPr>
                    <w:t>顾客满意度92分以上</w:t>
                  </w:r>
                </w:p>
              </w:tc>
              <w:tc>
                <w:tcPr>
                  <w:tcW w:w="3015" w:type="dxa"/>
                  <w:shd w:val="clear" w:color="auto" w:fill="auto"/>
                  <w:vAlign w:val="center"/>
                </w:tcPr>
                <w:p>
                  <w:pPr>
                    <w:spacing w:beforeLines="0" w:afterLines="0"/>
                    <w:rPr>
                      <w:rFonts w:ascii="宋体" w:hAnsi="宋体"/>
                    </w:rPr>
                  </w:pPr>
                  <w:r>
                    <w:rPr>
                      <w:rFonts w:hint="eastAsia" w:ascii="宋体" w:hAnsi="宋体"/>
                      <w:color w:val="000000"/>
                      <w:sz w:val="21"/>
                      <w:szCs w:val="24"/>
                    </w:rPr>
                    <w:t>顾客满意度=调查单位中满意总分数÷调查单位数</w:t>
                  </w:r>
                </w:p>
              </w:tc>
              <w:tc>
                <w:tcPr>
                  <w:tcW w:w="123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50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2" w:type="dxa"/>
                  <w:shd w:val="clear" w:color="auto" w:fill="auto"/>
                </w:tcPr>
                <w:p>
                  <w:pPr>
                    <w:shd w:val="clear" w:color="auto" w:fill="C7DAF1" w:themeFill="text2" w:themeFillTint="32"/>
                  </w:pPr>
                </w:p>
              </w:tc>
              <w:tc>
                <w:tcPr>
                  <w:tcW w:w="3015" w:type="dxa"/>
                  <w:shd w:val="clear" w:color="auto" w:fill="auto"/>
                  <w:vAlign w:val="center"/>
                </w:tcPr>
                <w:p>
                  <w:pPr>
                    <w:shd w:val="clear" w:color="auto" w:fill="C7DAF1" w:themeFill="text2" w:themeFillTint="32"/>
                    <w:rPr>
                      <w:rFonts w:ascii="宋体" w:hAnsi="宋体"/>
                    </w:rPr>
                  </w:pPr>
                </w:p>
              </w:tc>
              <w:tc>
                <w:tcPr>
                  <w:tcW w:w="1230" w:type="dxa"/>
                  <w:shd w:val="clear" w:color="auto" w:fill="auto"/>
                  <w:vAlign w:val="center"/>
                </w:tcPr>
                <w:p>
                  <w:pPr>
                    <w:shd w:val="clear" w:color="auto" w:fill="C7DAF1" w:themeFill="text2" w:themeFillTint="32"/>
                    <w:rPr>
                      <w:rFonts w:ascii="宋体" w:hAnsi="宋体"/>
                    </w:rPr>
                  </w:pPr>
                </w:p>
              </w:tc>
              <w:tc>
                <w:tcPr>
                  <w:tcW w:w="150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2" w:type="dxa"/>
                  <w:shd w:val="clear" w:color="auto" w:fill="auto"/>
                </w:tcPr>
                <w:p>
                  <w:pPr>
                    <w:shd w:val="clear" w:color="auto" w:fill="C7DAF1" w:themeFill="text2" w:themeFillTint="32"/>
                  </w:pPr>
                </w:p>
              </w:tc>
              <w:tc>
                <w:tcPr>
                  <w:tcW w:w="3015" w:type="dxa"/>
                  <w:shd w:val="clear" w:color="auto" w:fill="auto"/>
                  <w:vAlign w:val="center"/>
                </w:tcPr>
                <w:p>
                  <w:pPr>
                    <w:shd w:val="clear" w:color="auto" w:fill="C7DAF1" w:themeFill="text2" w:themeFillTint="32"/>
                    <w:rPr>
                      <w:rFonts w:ascii="宋体" w:hAnsi="宋体"/>
                    </w:rPr>
                  </w:pPr>
                </w:p>
              </w:tc>
              <w:tc>
                <w:tcPr>
                  <w:tcW w:w="1230" w:type="dxa"/>
                  <w:shd w:val="clear" w:color="auto" w:fill="auto"/>
                  <w:vAlign w:val="center"/>
                </w:tcPr>
                <w:p>
                  <w:pPr>
                    <w:shd w:val="clear" w:color="auto" w:fill="C7DAF1" w:themeFill="text2" w:themeFillTint="32"/>
                    <w:rPr>
                      <w:rFonts w:ascii="宋体" w:hAnsi="宋体"/>
                    </w:rPr>
                  </w:pPr>
                </w:p>
              </w:tc>
              <w:tc>
                <w:tcPr>
                  <w:tcW w:w="150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Times New Roman" w:hAnsi="Times New Roman" w:eastAsia="宋体" w:cs="Times New Roman"/>
                <w:color w:val="auto"/>
                <w:szCs w:val="22"/>
                <w:highlight w:val="none"/>
                <w:u w:val="single"/>
                <w:lang w:val="en-US" w:eastAsia="zh-CN"/>
              </w:rPr>
              <w:t>冷冻式干燥机、精密过滤器、气流粉碎机、自动包装机</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ascii="Times New Roman" w:hAnsi="Times New Roman" w:eastAsia="宋体" w:cs="Times New Roman"/>
                <w:color w:val="auto"/>
                <w:szCs w:val="22"/>
                <w:highlight w:val="none"/>
                <w:u w:val="single"/>
                <w:lang w:val="en-US" w:eastAsia="zh-CN"/>
              </w:rPr>
              <w:t>压力表</w:t>
            </w:r>
            <w:r>
              <w:rPr>
                <w:rFonts w:hint="eastAsia" w:ascii="Times New Roman" w:hAnsi="Times New Roman" w:cs="Times New Roman"/>
                <w:color w:val="auto"/>
                <w:szCs w:val="22"/>
                <w:highlight w:val="none"/>
                <w:u w:val="single"/>
                <w:lang w:val="en-US" w:eastAsia="zh-CN"/>
              </w:rPr>
              <w:t>、</w:t>
            </w:r>
            <w:r>
              <w:rPr>
                <w:rFonts w:hint="default" w:ascii="Times New Roman" w:hAnsi="Times New Roman" w:eastAsia="宋体" w:cs="Times New Roman"/>
                <w:color w:val="auto"/>
                <w:szCs w:val="22"/>
                <w:highlight w:val="none"/>
                <w:u w:val="single"/>
                <w:lang w:val="en-US" w:eastAsia="zh-CN"/>
              </w:rPr>
              <w:t>水份检测仪</w:t>
            </w:r>
            <w:r>
              <w:rPr>
                <w:rFonts w:hint="eastAsia" w:ascii="Times New Roman" w:hAnsi="Times New Roman" w:cs="Times New Roman"/>
                <w:color w:val="auto"/>
                <w:szCs w:val="22"/>
                <w:highlight w:val="none"/>
                <w:u w:val="single"/>
                <w:lang w:val="en-US" w:eastAsia="zh-CN"/>
              </w:rPr>
              <w:t>、</w:t>
            </w:r>
            <w:r>
              <w:rPr>
                <w:rFonts w:hint="eastAsia" w:cs="Times New Roman"/>
                <w:color w:val="auto"/>
                <w:szCs w:val="22"/>
                <w:highlight w:val="none"/>
                <w:u w:val="single"/>
                <w:lang w:val="en-US" w:eastAsia="zh-CN"/>
              </w:rPr>
              <w:t>激光粒度分析仪</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sym w:font="Wingdings 2" w:char="00A3"/>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2"/>
              <w:gridCol w:w="177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tcPr>
                <w:p>
                  <w:pPr>
                    <w:shd w:val="clear" w:color="auto" w:fill="C7DAF1" w:themeFill="text2" w:themeFillTint="32"/>
                    <w:jc w:val="left"/>
                  </w:pPr>
                  <w:r>
                    <w:rPr>
                      <w:rFonts w:hint="eastAsia"/>
                    </w:rPr>
                    <w:t>产品/服务名称</w:t>
                  </w:r>
                </w:p>
              </w:tc>
              <w:tc>
                <w:tcPr>
                  <w:tcW w:w="177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tcPr>
                <w:p>
                  <w:pPr>
                    <w:shd w:val="clear" w:color="auto" w:fill="C7DAF1" w:themeFill="text2" w:themeFillTint="32"/>
                    <w:jc w:val="left"/>
                  </w:pPr>
                  <w:r>
                    <w:rPr>
                      <w:rFonts w:hint="eastAsia" w:ascii="宋体" w:hAnsi="宋体"/>
                    </w:rPr>
                    <w:t>二氧化硅超微细白炭黑、改性白炭黑、消光粉的生产</w:t>
                  </w:r>
                </w:p>
              </w:tc>
              <w:tc>
                <w:tcPr>
                  <w:tcW w:w="1775" w:type="dxa"/>
                </w:tcPr>
                <w:p>
                  <w:pPr>
                    <w:shd w:val="clear" w:color="auto" w:fill="C7DAF1" w:themeFill="text2" w:themeFillTint="32"/>
                    <w:jc w:val="left"/>
                    <w:rPr>
                      <w:rFonts w:hint="eastAsia" w:eastAsia="宋体"/>
                      <w:lang w:val="en-US" w:eastAsia="zh-CN"/>
                    </w:rPr>
                  </w:pPr>
                  <w:r>
                    <w:rPr>
                      <w:rFonts w:hint="eastAsia"/>
                      <w:lang w:val="en-US" w:eastAsia="zh-CN"/>
                    </w:rPr>
                    <w:t>粉碎</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粒径</w:t>
                  </w:r>
                </w:p>
              </w:tc>
            </w:tr>
          </w:tbl>
          <w:p>
            <w:pPr>
              <w:shd w:val="clear" w:color="auto" w:fill="C7DAF1" w:themeFill="text2" w:themeFillTint="32"/>
              <w:jc w:val="left"/>
            </w:pPr>
          </w:p>
          <w:p>
            <w:pPr>
              <w:shd w:val="clear" w:color="auto" w:fill="C7DAF1" w:themeFill="text2" w:themeFillTint="32"/>
              <w:jc w:val="left"/>
              <w:rPr>
                <w:rFonts w:hint="eastAsia"/>
              </w:rPr>
            </w:pPr>
          </w:p>
          <w:p>
            <w:pPr>
              <w:shd w:val="clear" w:color="auto" w:fill="C7DAF1" w:themeFill="text2" w:themeFillTint="32"/>
              <w:jc w:val="left"/>
            </w:pPr>
            <w:bookmarkStart w:id="34" w:name="_GoBack"/>
            <w:bookmarkEnd w:id="34"/>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rPr>
                <w:rFonts w:hint="eastAsia" w:eastAsia="宋体"/>
                <w:lang w:val="en-US" w:eastAsia="zh-CN"/>
              </w:rPr>
            </w:pPr>
            <w:r>
              <w:rPr>
                <w:rFonts w:hint="eastAsia"/>
              </w:rPr>
              <w:t>目前的顾客或外部供方财产包括：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测试报告WP-21033400-CS-01Cn</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auto"/>
                <w:szCs w:val="22"/>
                <w:highlight w:val="none"/>
                <w:lang w:val="en-US" w:eastAsia="zh-CN"/>
              </w:rPr>
              <w:t>2022年01月12日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Times New Roman" w:hAnsi="Times New Roman" w:cs="Times New Roman"/>
                <w:szCs w:val="22"/>
                <w:highlight w:val="none"/>
                <w:lang w:val="en-US" w:eastAsia="zh-CN"/>
              </w:rPr>
              <w:t>2022年1月21日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8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8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89"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8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8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8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8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8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8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70E2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jc w:val="center"/>
      <w:outlineLvl w:val="1"/>
    </w:pPr>
    <w:rPr>
      <w:rFonts w:ascii="宋体" w:hAnsi="宋体"/>
      <w:b/>
      <w:sz w:val="5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8</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2022-03-02T02:15:52Z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