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24"/>
        <w:gridCol w:w="794"/>
        <w:gridCol w:w="294"/>
        <w:gridCol w:w="262"/>
        <w:gridCol w:w="41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江西科鸿新材料科技有限公司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江西省九江市永修县云山经济开发区星火工业园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江西省九江市永修县云山经济开发区星火工业园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黄彭量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15079158454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328742403@qq.com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二氧化硅超微细白炭黑、改性白炭黑、消光粉的生产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12.05.04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2022年03月01日 上午至2022年03月02日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12.05.04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李双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2021-N0QMS-1287699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17679372800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5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/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Align w:val="center"/>
          </w:tcPr>
          <w:p/>
        </w:tc>
        <w:tc>
          <w:tcPr>
            <w:tcW w:w="1350" w:type="dxa"/>
            <w:gridSpan w:val="3"/>
            <w:vAlign w:val="center"/>
          </w:tcPr>
          <w:p/>
        </w:tc>
        <w:tc>
          <w:tcPr>
            <w:tcW w:w="186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574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2022.2.26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33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-771525</wp:posOffset>
            </wp:positionV>
            <wp:extent cx="7787640" cy="10711180"/>
            <wp:effectExtent l="0" t="0" r="3810" b="13970"/>
            <wp:wrapNone/>
            <wp:docPr id="1" name="图片 1" descr="微信图片_2022030211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2112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7640" cy="1071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  <w:r>
        <w:br w:type="page"/>
      </w:r>
    </w:p>
    <w:p>
      <w:pPr>
        <w:pStyle w:val="2"/>
        <w:jc w:val="center"/>
        <w:rPr>
          <w:rFonts w:hint="eastAsia" w:ascii="宋体" w:hAnsi="宋体" w:eastAsia="宋体" w:cs="Times New Roman"/>
          <w:b/>
          <w:bCs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审核日程安排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993"/>
        <w:gridCol w:w="5287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8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8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2022.3.1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A审核，B实习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</w:rPr>
              <w:t>、6.3变更的策划、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7.1资源、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7.4沟通、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8.3删减确认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问题验证，验证企业相关资质证明的有效性；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9:30-12:00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pacing w:line="240" w:lineRule="exact"/>
              <w:jc w:val="both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A审核，B实习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QMS:5.3组织的岗位、职责和权限、6.2质量目标、8.2产品和服务的要求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8.4外部提供过程、产品和服务的控制、8.5.3顾客或外部供方的财产、8.5.5交付后的活动、9.1.2顾客满意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A审核，B实习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生产和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服务提供、8.6产品和服务的放行、8.7不合格输出的控制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2022.3.2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93" w:type="dxa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2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A审核，B实习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both"/>
              <w:textAlignment w:val="baseline"/>
              <w:rPr>
                <w:rFonts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QMS:5.3组织的岗位、职责和权限、6.2质量目标、7.1.2人员、7.2能力、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7.3意识、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7.1.6组织知识、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、9.1.3分析与评价、9.2内部审核、10.2不合格和纠正措施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80" w:type="dxa"/>
            <w:gridSpan w:val="2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议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3C6924"/>
    <w:rsid w:val="1A20434E"/>
    <w:rsid w:val="5DA06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2022-03-02T03:42:52Z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