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lang w:eastAsia="zh-CN"/>
        </w:rPr>
        <w:t>广安渝强塑业有限责任公司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eastAsia="zh-CN"/>
        </w:rPr>
        <w:t>实施的塑料编织袋生产符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2530" w:firstLineChars="700"/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广安渝强塑业有限责任公司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2022年</w:t>
      </w:r>
      <w:bookmarkStart w:id="4" w:name="_GoBack"/>
      <w:bookmarkEnd w:id="4"/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 xml:space="preserve">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297A9B"/>
    <w:rsid w:val="4B383BA2"/>
    <w:rsid w:val="58023A80"/>
    <w:rsid w:val="75111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红茶加咖啡</cp:lastModifiedBy>
  <cp:lastPrinted>2022-03-03T07:43:41Z</cp:lastPrinted>
  <dcterms:modified xsi:type="dcterms:W3CDTF">2022-03-03T07:43:50Z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