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60"/>
        <w:gridCol w:w="897"/>
        <w:gridCol w:w="676"/>
        <w:gridCol w:w="1289"/>
        <w:gridCol w:w="1243"/>
        <w:gridCol w:w="452"/>
        <w:gridCol w:w="912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6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四川得丰电气有限公司</w:t>
            </w:r>
            <w:bookmarkEnd w:id="0"/>
          </w:p>
        </w:tc>
        <w:tc>
          <w:tcPr>
            <w:tcW w:w="13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E：19.09.01;19.09.02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6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工艺流程图：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订单—下料分解—折弯成型—焊接—表面处理—壳体组装—电器组装—调试—检验—包装—入库—交付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固废排放、潜在火灾、废水排放、废气排放、噪声排放、化学品泄漏。</w:t>
            </w:r>
            <w:r>
              <w:rPr>
                <w:rFonts w:hint="eastAsia"/>
                <w:sz w:val="20"/>
                <w:highlight w:val="none"/>
              </w:rPr>
              <w:t>采取分类收集、管理方案和预案措施管理。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中华人民共和国安全消防法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综合污水排放标准（GB</w:t>
            </w:r>
            <w:r>
              <w:rPr>
                <w:rFonts w:hint="eastAsia" w:ascii="宋体" w:hAnsi="宋体"/>
                <w:sz w:val="21"/>
                <w:szCs w:val="21"/>
              </w:rPr>
              <w:t>8978-</w:t>
            </w:r>
            <w:r>
              <w:rPr>
                <w:rFonts w:hint="eastAsia" w:ascii="宋体" w:hAnsi="宋体"/>
                <w:sz w:val="21"/>
                <w:szCs w:val="21"/>
              </w:rPr>
              <w:t>1996）三级、大气污染物综合排放标准（GB 16297-1996</w:t>
            </w:r>
            <w:r>
              <w:rPr>
                <w:rFonts w:hint="eastAsia" w:ascii="宋体" w:hAnsi="宋体"/>
                <w:sz w:val="21"/>
                <w:szCs w:val="21"/>
              </w:rPr>
              <w:t>）、工业企业厂界环境噪声排放标准（GB12348-2008）3类等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提供由四川新绿洲环境检测有限公司提供的环境检测报告，报告编号：川绿检字（2022）第0110号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121920</wp:posOffset>
                  </wp:positionV>
                  <wp:extent cx="371475" cy="341630"/>
                  <wp:effectExtent l="0" t="0" r="9525" b="127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2022年03月01日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117475</wp:posOffset>
                  </wp:positionV>
                  <wp:extent cx="371475" cy="341630"/>
                  <wp:effectExtent l="0" t="0" r="9525" b="1270"/>
                  <wp:wrapNone/>
                  <wp:docPr id="4" name="图片 4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2022年03月01日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jc w:val="center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4"/>
        <w:gridCol w:w="1259"/>
        <w:gridCol w:w="1289"/>
        <w:gridCol w:w="1202"/>
        <w:gridCol w:w="493"/>
        <w:gridCol w:w="748"/>
        <w:gridCol w:w="21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2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四川得丰电气有限公司</w:t>
            </w:r>
          </w:p>
        </w:tc>
        <w:tc>
          <w:tcPr>
            <w:tcW w:w="124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5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b/>
                <w:sz w:val="20"/>
              </w:rPr>
              <w:t>：19.09.01;19.09.02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工艺流程图：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订单—下料分解—折弯成型—焊接—表面处理—壳体组装—电器组装—调试—检验—包装—入库—交付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火灾、机械伤害、触电、职业病。</w:t>
            </w:r>
            <w:r>
              <w:rPr>
                <w:rFonts w:hint="eastAsia"/>
                <w:sz w:val="20"/>
                <w:highlight w:val="none"/>
              </w:rPr>
              <w:t>采取制定管理方案控制，火灾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触电</w:t>
            </w:r>
            <w:r>
              <w:rPr>
                <w:rFonts w:hint="eastAsia"/>
                <w:sz w:val="20"/>
                <w:highlight w:val="none"/>
              </w:rPr>
              <w:t>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中华人民共和国职业病防治法、职业健康监护技术规范GBZ188-2014、职业健康检查管理办法、职业</w:t>
            </w:r>
            <w:bookmarkStart w:id="1" w:name="_GoBack"/>
            <w:bookmarkEnd w:id="1"/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性尘肺病的诊断GBZ70-2015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提供由广安阿蓝医院出具的职业健康检查总结报告书，编号：广阿蓝职检总报（2021）第70号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198120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2022年03月01日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162560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2022年03月01日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04C0647"/>
    <w:rsid w:val="0308735B"/>
    <w:rsid w:val="03561F09"/>
    <w:rsid w:val="0D391859"/>
    <w:rsid w:val="21C916A0"/>
    <w:rsid w:val="25F666AD"/>
    <w:rsid w:val="2F234AE5"/>
    <w:rsid w:val="49AB1508"/>
    <w:rsid w:val="532C190B"/>
    <w:rsid w:val="58EA6EE4"/>
    <w:rsid w:val="5991071A"/>
    <w:rsid w:val="68344518"/>
    <w:rsid w:val="6BFB5AB1"/>
    <w:rsid w:val="79204BEF"/>
    <w:rsid w:val="7A1C2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5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2022-03-01T01:34:03Z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