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0130-2022-Q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59264"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河北酷仔箱包制造有限公司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2022年02月28日 上午至2022年02月28日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115"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en-US"/>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 xml:space="preserve">GB/T </w:t>
            </w:r>
            <w:r>
              <w:rPr>
                <w:rFonts w:hint="eastAsia" w:ascii="宋体" w:hAnsi="宋体"/>
                <w:b/>
                <w:color w:val="000000"/>
                <w:szCs w:val="21"/>
                <w:lang w:val="en-US" w:eastAsia="zh-CN"/>
              </w:rPr>
              <w:t xml:space="preserve"> </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hAnsi="宋体"/>
                <w:b/>
                <w:color w:val="000000"/>
                <w:szCs w:val="21"/>
                <w:lang w:val="de-DE"/>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hAnsi="宋体"/>
                <w:b/>
                <w:color w:val="000000"/>
                <w:szCs w:val="21"/>
                <w:lang w:val="de-DE"/>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河北省保定市高碑店市白沟新工业区-c区214</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周文廷</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2019-N1QMS-1244880</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张博</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ISC-JSZJ-494</w:t>
            </w:r>
          </w:p>
          <w:p>
            <w:pPr>
              <w:spacing w:line="240" w:lineRule="exact"/>
              <w:jc w:val="center"/>
              <w:rPr>
                <w:b/>
                <w:color w:val="000000"/>
                <w:szCs w:val="21"/>
              </w:rPr>
            </w:pPr>
            <w:r>
              <w:rPr>
                <w:b/>
                <w:color w:val="000000"/>
                <w:szCs w:val="21"/>
              </w:rPr>
              <w:t>菏泽漫步时空箱包制品有限公司</w:t>
            </w:r>
          </w:p>
        </w:tc>
        <w:tc>
          <w:tcPr>
            <w:tcW w:w="1140" w:type="dxa"/>
            <w:vAlign w:val="center"/>
          </w:tcPr>
          <w:p>
            <w:pPr>
              <w:spacing w:line="240" w:lineRule="exact"/>
              <w:jc w:val="center"/>
              <w:rPr>
                <w:b/>
                <w:color w:val="000000"/>
                <w:szCs w:val="21"/>
              </w:rPr>
            </w:pPr>
            <w:r>
              <w:rPr>
                <w:b/>
                <w:color w:val="000000"/>
                <w:szCs w:val="21"/>
              </w:rPr>
              <w:t>05.01.02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pPr>
              <w:spacing w:line="240" w:lineRule="exact"/>
              <w:jc w:val="center"/>
              <w:rPr>
                <w:b/>
                <w:color w:val="000000"/>
                <w:szCs w:val="21"/>
              </w:rPr>
            </w:pPr>
            <w:r>
              <w:rPr>
                <w:b/>
                <w:color w:val="000000"/>
                <w:szCs w:val="21"/>
              </w:rPr>
              <w:t>张博</w:t>
            </w:r>
          </w:p>
        </w:tc>
        <w:tc>
          <w:tcPr>
            <w:tcW w:w="1089" w:type="dxa"/>
            <w:vAlign w:val="center"/>
          </w:tcPr>
          <w:p>
            <w:pPr>
              <w:spacing w:line="240" w:lineRule="exact"/>
              <w:jc w:val="center"/>
              <w:rPr>
                <w:rFonts w:hint="eastAsia" w:eastAsia="宋体"/>
                <w:b/>
                <w:color w:val="000000"/>
                <w:szCs w:val="21"/>
                <w:lang w:val="en-US" w:eastAsia="zh-CN"/>
              </w:rPr>
            </w:pPr>
            <w:r>
              <w:rPr>
                <w:rFonts w:hint="eastAsia"/>
                <w:b/>
                <w:color w:val="000000"/>
                <w:szCs w:val="21"/>
                <w:lang w:val="en-US" w:eastAsia="zh-CN"/>
              </w:rPr>
              <w:t>专家</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ISC-JSZJ-494</w:t>
            </w:r>
          </w:p>
          <w:p>
            <w:pPr>
              <w:spacing w:line="240" w:lineRule="exact"/>
              <w:jc w:val="center"/>
              <w:rPr>
                <w:b/>
                <w:color w:val="000000"/>
                <w:szCs w:val="21"/>
              </w:rPr>
            </w:pPr>
            <w:r>
              <w:rPr>
                <w:b/>
                <w:color w:val="000000"/>
                <w:szCs w:val="21"/>
              </w:rPr>
              <w:t>菏泽漫步时空箱包制品有限公司</w:t>
            </w:r>
          </w:p>
        </w:tc>
        <w:tc>
          <w:tcPr>
            <w:tcW w:w="2228" w:type="dxa"/>
            <w:gridSpan w:val="2"/>
            <w:vAlign w:val="center"/>
          </w:tcPr>
          <w:p>
            <w:pPr>
              <w:spacing w:line="240" w:lineRule="exact"/>
              <w:jc w:val="cente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19" w:name="组织名称Add1"/>
            <w:r>
              <w:rPr>
                <w:rFonts w:ascii="宋体"/>
                <w:b/>
                <w:color w:val="000000"/>
                <w:szCs w:val="21"/>
              </w:rPr>
              <w:t>河北酷仔箱包制造有限公司</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0" w:name="注册地址"/>
            <w:r>
              <w:rPr>
                <w:rFonts w:ascii="宋体"/>
                <w:b/>
                <w:color w:val="000000"/>
                <w:szCs w:val="21"/>
              </w:rPr>
              <w:t>河北省保定市白沟新城和道国际原辅料交易中心1-015号</w:t>
            </w:r>
            <w:bookmarkEnd w:id="20"/>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1" w:name="注册邮编"/>
            <w:r>
              <w:rPr>
                <w:rFonts w:ascii="宋体"/>
                <w:b/>
                <w:color w:val="000000"/>
                <w:szCs w:val="21"/>
              </w:rPr>
              <w:t>074000</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2" w:name="生产地址"/>
            <w:bookmarkStart w:id="23" w:name="办公地址"/>
            <w:r>
              <w:rPr>
                <w:rFonts w:ascii="宋体"/>
                <w:b/>
                <w:color w:val="000000"/>
                <w:szCs w:val="21"/>
              </w:rPr>
              <w:t>河北省保定市高碑店市白沟新工业区-c区214</w:t>
            </w:r>
            <w:bookmarkEnd w:id="22"/>
            <w:bookmarkEnd w:id="23"/>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4" w:name="办公邮编"/>
            <w:r>
              <w:rPr>
                <w:rFonts w:ascii="宋体"/>
                <w:b/>
                <w:color w:val="000000"/>
                <w:szCs w:val="21"/>
              </w:rPr>
              <w:t>074000</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5" w:name="联系人"/>
            <w:r>
              <w:rPr>
                <w:rFonts w:ascii="宋体"/>
                <w:b/>
                <w:color w:val="000000"/>
                <w:szCs w:val="21"/>
              </w:rPr>
              <w:t>张海良</w:t>
            </w:r>
            <w:bookmarkEnd w:id="25"/>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6" w:name="联系人手机"/>
            <w:r>
              <w:rPr>
                <w:rFonts w:ascii="宋体"/>
                <w:b/>
                <w:color w:val="000000"/>
                <w:szCs w:val="21"/>
              </w:rPr>
              <w:t>18601247737</w:t>
            </w:r>
            <w:bookmarkEnd w:id="26"/>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7" w:name="联系人传真"/>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28" w:name="法人"/>
            <w:r>
              <w:rPr>
                <w:rFonts w:ascii="宋体"/>
                <w:b/>
                <w:color w:val="000000"/>
                <w:szCs w:val="21"/>
              </w:rPr>
              <w:t>张海良</w:t>
            </w:r>
            <w:bookmarkEnd w:id="28"/>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29" w:name="管理者代表"/>
            <w:r>
              <w:rPr>
                <w:rFonts w:ascii="宋体"/>
                <w:b/>
                <w:color w:val="000000"/>
                <w:szCs w:val="21"/>
              </w:rPr>
              <w:t>张海良</w:t>
            </w:r>
            <w:bookmarkEnd w:id="29"/>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bookmarkStart w:id="30" w:name="审核范围"/>
            <w:r>
              <w:t>皮箱、包的生产</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rFonts w:hint="eastAsia"/>
                <w:lang w:val="en-US" w:eastAsia="zh-CN"/>
              </w:rPr>
              <w:t>生产服务流程：制版——打样——客户确认——采购原材料（箱壳外协）——裁料——加工缝纫（箱体组装）——确认首件——正常生产——品质检验——打包发货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r>
              <w:rPr>
                <w:rFonts w:hint="eastAsia" w:ascii="宋体" w:hAnsi="宋体"/>
                <w:b/>
                <w:sz w:val="21"/>
                <w:szCs w:val="21"/>
              </w:rPr>
              <w:t xml:space="preserve">GB/T19001-2016/ISO 9001:2015  </w:t>
            </w: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皮箱、包的生产</w:t>
            </w:r>
          </w:p>
        </w:tc>
        <w:tc>
          <w:tcPr>
            <w:tcW w:w="2006" w:type="dxa"/>
            <w:gridSpan w:val="3"/>
            <w:vAlign w:val="center"/>
          </w:tcPr>
          <w:p>
            <w:pPr>
              <w:spacing w:line="400" w:lineRule="exact"/>
              <w:rPr>
                <w:rFonts w:ascii="宋体" w:hAnsi="宋体"/>
                <w:b/>
                <w:color w:val="000000"/>
                <w:szCs w:val="21"/>
              </w:rPr>
            </w:pPr>
            <w:bookmarkStart w:id="31" w:name="专业代码"/>
            <w:r>
              <w:t>05.01.02</w:t>
            </w:r>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b/>
                <w:color w:val="000000"/>
                <w:szCs w:val="21"/>
                <w:lang w:val="de-DE"/>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1965"/>
        <w:gridCol w:w="1507"/>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1965"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50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黑体"/>
                <w:szCs w:val="21"/>
                <w:lang w:val="de-DE" w:eastAsia="ja-JP"/>
              </w:rPr>
            </w:pPr>
            <w:r>
              <w:rPr>
                <w:rFonts w:hint="eastAsia" w:eastAsia="黑体"/>
                <w:szCs w:val="21"/>
                <w:lang w:val="de-DE" w:eastAsia="ja-JP"/>
              </w:rPr>
              <w:t>河北酷仔箱包制造有限公司</w:t>
            </w:r>
          </w:p>
          <w:p>
            <w:pPr>
              <w:spacing w:before="40" w:after="40"/>
              <w:rPr>
                <w:rFonts w:eastAsia="黑体"/>
                <w:szCs w:val="21"/>
                <w:lang w:val="de-DE" w:eastAsia="ja-JP"/>
              </w:rPr>
            </w:pPr>
            <w:r>
              <w:rPr>
                <w:rFonts w:hint="eastAsia" w:eastAsia="黑体"/>
                <w:szCs w:val="21"/>
                <w:lang w:val="de-DE" w:eastAsia="ja-JP"/>
              </w:rPr>
              <w:t>河北省保定市白沟新城和道国际原辅料交易中心1-015号</w:t>
            </w:r>
          </w:p>
        </w:tc>
        <w:tc>
          <w:tcPr>
            <w:tcW w:w="2267" w:type="dxa"/>
          </w:tcPr>
          <w:p>
            <w:pPr>
              <w:spacing w:before="40" w:after="40"/>
              <w:rPr>
                <w:rFonts w:eastAsia="黑体"/>
                <w:szCs w:val="21"/>
                <w:lang w:val="de-DE" w:eastAsia="ja-JP"/>
              </w:rPr>
            </w:pPr>
            <w:r>
              <w:rPr>
                <w:sz w:val="21"/>
                <w:szCs w:val="21"/>
              </w:rPr>
              <w:t>河北省保定市高碑店市白沟新工业区-c区214</w:t>
            </w:r>
          </w:p>
        </w:tc>
        <w:tc>
          <w:tcPr>
            <w:tcW w:w="571" w:type="dxa"/>
            <w:vAlign w:val="center"/>
          </w:tcPr>
          <w:p>
            <w:pPr>
              <w:spacing w:before="40" w:after="40"/>
              <w:rPr>
                <w:rFonts w:hint="eastAsia" w:eastAsia="黑体"/>
                <w:szCs w:val="21"/>
                <w:lang w:val="en-US" w:eastAsia="zh-CN"/>
              </w:rPr>
            </w:pPr>
            <w:r>
              <w:rPr>
                <w:rFonts w:hint="eastAsia" w:eastAsia="黑体"/>
                <w:szCs w:val="21"/>
                <w:lang w:val="en-US" w:eastAsia="zh-CN"/>
              </w:rPr>
              <w:t>40</w:t>
            </w:r>
          </w:p>
        </w:tc>
        <w:tc>
          <w:tcPr>
            <w:tcW w:w="1965" w:type="dxa"/>
            <w:vAlign w:val="center"/>
          </w:tcPr>
          <w:p>
            <w:pPr>
              <w:pStyle w:val="19"/>
              <w:rPr>
                <w:rFonts w:eastAsia="黑体" w:cs="Arial"/>
                <w:sz w:val="21"/>
                <w:szCs w:val="21"/>
                <w:lang w:val="en-US" w:eastAsia="ja-JP"/>
              </w:rPr>
            </w:pPr>
            <w:r>
              <w:t>皮箱、包的生产</w:t>
            </w:r>
          </w:p>
        </w:tc>
        <w:tc>
          <w:tcPr>
            <w:tcW w:w="1507" w:type="dxa"/>
            <w:vAlign w:val="center"/>
          </w:tcPr>
          <w:p>
            <w:pPr>
              <w:spacing w:before="40" w:after="40"/>
              <w:rPr>
                <w:rFonts w:eastAsia="黑体"/>
                <w:szCs w:val="21"/>
                <w:lang w:eastAsia="ja-JP"/>
              </w:rPr>
            </w:pPr>
            <w:r>
              <w:rPr>
                <w:rFonts w:hint="eastAsia" w:ascii="宋体" w:hAnsi="宋体"/>
                <w:b/>
                <w:sz w:val="21"/>
                <w:szCs w:val="21"/>
              </w:rPr>
              <w:t xml:space="preserve">GB/T19001-2016/ISO 9001:2015 </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b/>
                    <w:color w:val="000000"/>
                    <w:szCs w:val="21"/>
                    <w:lang w:val="de-DE"/>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1965" w:type="dxa"/>
            <w:vAlign w:val="center"/>
          </w:tcPr>
          <w:p>
            <w:pPr>
              <w:spacing w:before="40" w:after="40"/>
              <w:rPr>
                <w:rFonts w:eastAsia="黑体"/>
                <w:szCs w:val="21"/>
                <w:lang w:eastAsia="ja-JP"/>
              </w:rPr>
            </w:pPr>
          </w:p>
        </w:tc>
        <w:tc>
          <w:tcPr>
            <w:tcW w:w="1507"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1965" w:type="dxa"/>
            <w:vAlign w:val="center"/>
          </w:tcPr>
          <w:p>
            <w:pPr>
              <w:spacing w:before="40" w:after="40"/>
              <w:rPr>
                <w:rFonts w:eastAsia="黑体"/>
                <w:szCs w:val="21"/>
                <w:lang w:eastAsia="ja-JP"/>
              </w:rPr>
            </w:pPr>
          </w:p>
        </w:tc>
        <w:tc>
          <w:tcPr>
            <w:tcW w:w="1507"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1965" w:type="dxa"/>
            <w:vAlign w:val="center"/>
          </w:tcPr>
          <w:p>
            <w:pPr>
              <w:spacing w:before="40" w:after="40"/>
              <w:rPr>
                <w:rFonts w:eastAsia="黑体"/>
                <w:szCs w:val="21"/>
                <w:lang w:eastAsia="ja-JP"/>
              </w:rPr>
            </w:pPr>
          </w:p>
        </w:tc>
        <w:tc>
          <w:tcPr>
            <w:tcW w:w="1507"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1965" w:type="dxa"/>
            <w:vAlign w:val="center"/>
          </w:tcPr>
          <w:p>
            <w:pPr>
              <w:spacing w:before="40" w:after="40"/>
              <w:rPr>
                <w:rFonts w:eastAsia="黑体"/>
                <w:szCs w:val="21"/>
                <w:lang w:eastAsia="ja-JP"/>
              </w:rPr>
            </w:pPr>
          </w:p>
        </w:tc>
        <w:tc>
          <w:tcPr>
            <w:tcW w:w="1507"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hint="eastAsia" w:ascii="宋体" w:hAnsi="宋体" w:eastAsia="宋体"/>
                <w:color w:val="000000"/>
                <w:spacing w:val="-10"/>
                <w:szCs w:val="21"/>
                <w:lang w:val="en-US" w:eastAsia="zh-CN"/>
              </w:rPr>
            </w:pPr>
            <w:r>
              <w:rPr>
                <w:rFonts w:hint="eastAsia" w:ascii="Wingdings" w:hAnsi="Wingdings"/>
                <w:color w:val="000000"/>
                <w:spacing w:val="-10"/>
                <w:szCs w:val="21"/>
                <w:lang w:val="en-US" w:eastAsia="zh-CN"/>
              </w:rPr>
              <w:t xml:space="preserve"> </w:t>
            </w:r>
          </w:p>
        </w:tc>
        <w:tc>
          <w:tcPr>
            <w:tcW w:w="1637" w:type="dxa"/>
            <w:shd w:val="clear" w:color="auto" w:fill="auto"/>
          </w:tcPr>
          <w:p>
            <w:pPr>
              <w:rPr>
                <w:rFonts w:ascii="宋体" w:hAnsi="宋体"/>
                <w:color w:val="00000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hint="eastAsia" w:ascii="宋体" w:hAnsi="宋体" w:eastAsia="宋体"/>
                <w:color w:val="000000"/>
                <w:spacing w:val="-10"/>
                <w:szCs w:val="21"/>
                <w:lang w:val="en-US" w:eastAsia="zh-CN"/>
              </w:rPr>
            </w:pPr>
            <w:r>
              <w:rPr>
                <w:rFonts w:hint="eastAsia" w:ascii="Wingdings" w:hAnsi="Wingdings"/>
                <w:color w:val="000000"/>
                <w:spacing w:val="-10"/>
                <w:szCs w:val="21"/>
                <w:lang w:val="en-US" w:eastAsia="zh-CN"/>
              </w:rPr>
              <w:t xml:space="preserve"> </w:t>
            </w:r>
          </w:p>
        </w:tc>
        <w:tc>
          <w:tcPr>
            <w:tcW w:w="1637" w:type="dxa"/>
            <w:shd w:val="clear" w:color="auto" w:fill="auto"/>
          </w:tcPr>
          <w:p>
            <w:pPr>
              <w:rPr>
                <w:rFonts w:ascii="宋体" w:hAnsi="宋体"/>
                <w:color w:val="00000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hint="eastAsia" w:ascii="宋体" w:hAnsi="宋体" w:eastAsia="宋体"/>
                <w:color w:val="000000"/>
                <w:spacing w:val="-10"/>
                <w:szCs w:val="21"/>
                <w:lang w:val="en-US" w:eastAsia="zh-CN"/>
              </w:rPr>
            </w:pPr>
            <w:r>
              <w:rPr>
                <w:rFonts w:hint="eastAsia" w:ascii="Wingdings" w:hAnsi="Wingdings"/>
                <w:color w:val="000000"/>
                <w:spacing w:val="-10"/>
                <w:szCs w:val="21"/>
                <w:lang w:val="en-US" w:eastAsia="zh-CN"/>
              </w:rPr>
              <w:t xml:space="preserve"> </w:t>
            </w:r>
          </w:p>
        </w:tc>
        <w:tc>
          <w:tcPr>
            <w:tcW w:w="1637" w:type="dxa"/>
            <w:shd w:val="clear" w:color="auto" w:fill="auto"/>
          </w:tcPr>
          <w:p>
            <w:pPr>
              <w:rPr>
                <w:rFonts w:ascii="宋体" w:hAnsi="宋体"/>
                <w:color w:val="00000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hint="eastAsia" w:ascii="宋体" w:eastAsia="宋体"/>
                <w:color w:val="000000"/>
                <w:sz w:val="21"/>
                <w:szCs w:val="21"/>
                <w:lang w:val="en-US" w:eastAsia="zh-CN"/>
              </w:rPr>
            </w:pPr>
            <w:r>
              <w:rPr>
                <w:rFonts w:hint="eastAsia" w:ascii="Wingdings" w:hAnsi="Wingdings" w:eastAsia="宋体"/>
                <w:color w:val="000000"/>
                <w:sz w:val="21"/>
                <w:szCs w:val="21"/>
                <w:lang w:val="en-US" w:eastAsia="zh-CN"/>
              </w:rPr>
              <w:t xml:space="preserve"> </w:t>
            </w:r>
          </w:p>
        </w:tc>
        <w:tc>
          <w:tcPr>
            <w:tcW w:w="1063" w:type="dxa"/>
            <w:shd w:val="clear" w:color="auto" w:fill="auto"/>
          </w:tcPr>
          <w:p>
            <w:pPr>
              <w:rPr>
                <w:rFonts w:ascii="宋体" w:hAnsi="宋体"/>
                <w:color w:val="000000"/>
                <w:spacing w:val="-10"/>
                <w:szCs w:val="21"/>
                <w:lang w:val="en-US"/>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hint="eastAsia" w:ascii="宋体" w:eastAsia="宋体"/>
                <w:color w:val="000000"/>
                <w:sz w:val="21"/>
                <w:szCs w:val="21"/>
                <w:lang w:val="en-US" w:eastAsia="zh-CN"/>
              </w:rPr>
            </w:pPr>
            <w:r>
              <w:rPr>
                <w:rFonts w:hint="eastAsia" w:ascii="Wingdings" w:hAnsi="Wingdings" w:eastAsia="宋体"/>
                <w:color w:val="000000"/>
                <w:sz w:val="21"/>
                <w:szCs w:val="21"/>
                <w:lang w:val="en-US" w:eastAsia="zh-CN"/>
              </w:rPr>
              <w:t xml:space="preserve"> </w:t>
            </w:r>
          </w:p>
        </w:tc>
        <w:tc>
          <w:tcPr>
            <w:tcW w:w="1063" w:type="dxa"/>
            <w:shd w:val="clear" w:color="auto" w:fill="auto"/>
          </w:tcPr>
          <w:p>
            <w:pPr>
              <w:rPr>
                <w:rFonts w:ascii="宋体" w:hAnsi="宋体"/>
                <w:color w:val="000000"/>
                <w:spacing w:val="-10"/>
                <w:szCs w:val="21"/>
                <w:lang w:val="en-US"/>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hint="eastAsia" w:ascii="宋体" w:eastAsia="宋体"/>
                <w:color w:val="000000"/>
                <w:sz w:val="21"/>
                <w:szCs w:val="21"/>
                <w:lang w:val="en-US" w:eastAsia="zh-CN"/>
              </w:rPr>
            </w:pPr>
            <w:r>
              <w:rPr>
                <w:rFonts w:hint="eastAsia" w:ascii="Wingdings" w:hAnsi="Wingdings" w:eastAsia="宋体"/>
                <w:color w:val="000000"/>
                <w:sz w:val="21"/>
                <w:szCs w:val="21"/>
                <w:lang w:val="en-US" w:eastAsia="zh-CN"/>
              </w:rPr>
              <w:t xml:space="preserve"> </w:t>
            </w:r>
          </w:p>
        </w:tc>
        <w:tc>
          <w:tcPr>
            <w:tcW w:w="1063" w:type="dxa"/>
            <w:shd w:val="clear" w:color="auto" w:fill="auto"/>
          </w:tcPr>
          <w:p>
            <w:pPr>
              <w:rPr>
                <w:rFonts w:ascii="宋体" w:hAnsi="宋体"/>
                <w:color w:val="000000"/>
                <w:spacing w:val="-10"/>
                <w:szCs w:val="21"/>
                <w:lang w:val="en-US"/>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hint="eastAsia" w:ascii="宋体" w:hAnsi="宋体" w:eastAsia="宋体"/>
                <w:color w:val="000000"/>
                <w:sz w:val="21"/>
                <w:szCs w:val="21"/>
                <w:lang w:val="en-US" w:eastAsia="zh-CN"/>
              </w:rPr>
            </w:pPr>
            <w:r>
              <w:rPr>
                <w:rFonts w:hint="eastAsia" w:ascii="Wingdings" w:hAnsi="Wingdings" w:eastAsia="宋体"/>
                <w:color w:val="000000"/>
                <w:sz w:val="21"/>
                <w:szCs w:val="21"/>
                <w:lang w:val="en-US" w:eastAsia="zh-CN"/>
              </w:rPr>
              <w:t xml:space="preserve"> </w:t>
            </w:r>
          </w:p>
        </w:tc>
        <w:tc>
          <w:tcPr>
            <w:tcW w:w="1063" w:type="dxa"/>
            <w:shd w:val="clear" w:color="auto" w:fill="auto"/>
          </w:tcPr>
          <w:p>
            <w:pPr>
              <w:rPr>
                <w:rFonts w:ascii="宋体" w:hAnsi="宋体"/>
                <w:color w:val="000000"/>
                <w:spacing w:val="-10"/>
                <w:szCs w:val="21"/>
                <w:lang w:val="en-US"/>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hint="eastAsia" w:ascii="宋体" w:hAnsi="宋体" w:eastAsia="宋体"/>
                <w:color w:val="000000"/>
                <w:spacing w:val="-10"/>
                <w:szCs w:val="21"/>
                <w:lang w:val="en-US" w:eastAsia="zh-CN"/>
              </w:rPr>
            </w:pPr>
            <w:r>
              <w:rPr>
                <w:rFonts w:hint="eastAsia" w:ascii="Wingdings" w:hAnsi="Wingdings"/>
                <w:color w:val="000000"/>
                <w:spacing w:val="-10"/>
                <w:szCs w:val="21"/>
                <w:lang w:val="en-US" w:eastAsia="zh-CN"/>
              </w:rPr>
              <w:t xml:space="preserve"> </w:t>
            </w:r>
          </w:p>
        </w:tc>
        <w:tc>
          <w:tcPr>
            <w:tcW w:w="1637" w:type="dxa"/>
            <w:shd w:val="clear" w:color="auto" w:fill="auto"/>
          </w:tcPr>
          <w:p>
            <w:pPr>
              <w:rPr>
                <w:rFonts w:ascii="宋体" w:hAnsi="宋体"/>
                <w:color w:val="00000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hint="eastAsia" w:ascii="宋体" w:eastAsia="宋体"/>
                <w:color w:val="000000"/>
                <w:sz w:val="21"/>
                <w:szCs w:val="21"/>
                <w:lang w:val="en-US" w:eastAsia="zh-CN"/>
              </w:rPr>
            </w:pPr>
            <w:r>
              <w:rPr>
                <w:rFonts w:hint="eastAsia" w:ascii="Wingdings" w:hAnsi="Wingdings" w:eastAsia="宋体"/>
                <w:color w:val="000000"/>
                <w:sz w:val="21"/>
                <w:szCs w:val="21"/>
                <w:lang w:val="en-US" w:eastAsia="zh-CN"/>
              </w:rPr>
              <w:t xml:space="preserve"> </w:t>
            </w:r>
          </w:p>
        </w:tc>
        <w:tc>
          <w:tcPr>
            <w:tcW w:w="1063" w:type="dxa"/>
            <w:shd w:val="clear" w:color="auto" w:fill="auto"/>
          </w:tcPr>
          <w:p>
            <w:pPr>
              <w:rPr>
                <w:rFonts w:ascii="宋体" w:hAnsi="宋体"/>
                <w:color w:val="000000"/>
                <w:spacing w:val="-10"/>
                <w:szCs w:val="21"/>
                <w:lang w:val="en-US"/>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hint="eastAsia" w:ascii="宋体" w:eastAsia="宋体"/>
                <w:color w:val="000000"/>
                <w:sz w:val="21"/>
                <w:szCs w:val="21"/>
                <w:lang w:val="en-US" w:eastAsia="zh-CN"/>
              </w:rPr>
            </w:pPr>
            <w:r>
              <w:rPr>
                <w:rFonts w:hint="eastAsia" w:ascii="Wingdings" w:hAnsi="Wingdings" w:eastAsia="宋体"/>
                <w:color w:val="000000"/>
                <w:sz w:val="21"/>
                <w:szCs w:val="21"/>
                <w:lang w:val="en-US" w:eastAsia="zh-CN"/>
              </w:rPr>
              <w:t xml:space="preserve"> </w:t>
            </w:r>
          </w:p>
        </w:tc>
        <w:tc>
          <w:tcPr>
            <w:tcW w:w="1063" w:type="dxa"/>
            <w:shd w:val="clear" w:color="auto" w:fill="auto"/>
          </w:tcPr>
          <w:p>
            <w:pPr>
              <w:rPr>
                <w:rFonts w:ascii="宋体" w:hAnsi="宋体"/>
                <w:color w:val="000000"/>
                <w:spacing w:val="-10"/>
                <w:szCs w:val="21"/>
                <w:lang w:val="en-US"/>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11</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2</w:t>
            </w:r>
            <w:r>
              <w:rPr>
                <w:rFonts w:hint="eastAsia" w:ascii="宋体" w:hAnsi="宋体"/>
                <w:b/>
                <w:color w:val="000000"/>
                <w:szCs w:val="21"/>
                <w:u w:val="single"/>
              </w:rPr>
              <w:t>月</w:t>
            </w:r>
            <w:r>
              <w:rPr>
                <w:rFonts w:hint="eastAsia" w:ascii="宋体" w:hAnsi="宋体"/>
                <w:b/>
                <w:color w:val="000000"/>
                <w:szCs w:val="21"/>
                <w:u w:val="single"/>
                <w:lang w:val="en-US" w:eastAsia="zh-CN"/>
              </w:rPr>
              <w:t>10</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年2月15</w:t>
            </w:r>
            <w:bookmarkStart w:id="33" w:name="_GoBack"/>
            <w:bookmarkEnd w:id="33"/>
            <w:r>
              <w:rPr>
                <w:rFonts w:hint="eastAsia" w:ascii="宋体" w:hAnsi="宋体" w:eastAsia="宋体"/>
                <w:color w:val="000000"/>
                <w:sz w:val="21"/>
                <w:szCs w:val="21"/>
                <w:u w:val="single"/>
                <w:lang w:val="en-US" w:eastAsia="zh-CN"/>
              </w:rPr>
              <w:t>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r>
              <w:rPr>
                <w:rFonts w:hint="eastAsia"/>
                <w:color w:val="000000"/>
                <w:lang w:val="en-US" w:eastAsia="zh-CN"/>
              </w:rPr>
              <w:t>原材料采购与检验、下料、加工、成品检验</w:t>
            </w:r>
          </w:p>
        </w:tc>
        <w:tc>
          <w:tcPr>
            <w:tcW w:w="1063" w:type="dxa"/>
            <w:shd w:val="clear" w:color="auto" w:fill="DBEEF3" w:themeFill="accent5" w:themeFillTint="3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打板</w:t>
            </w:r>
          </w:p>
        </w:tc>
        <w:tc>
          <w:tcPr>
            <w:tcW w:w="1063" w:type="dxa"/>
            <w:shd w:val="clear" w:color="auto" w:fill="DBEEF3" w:themeFill="accent5" w:themeFillTint="3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壳体压铸</w:t>
            </w:r>
          </w:p>
        </w:tc>
        <w:tc>
          <w:tcPr>
            <w:tcW w:w="1063" w:type="dxa"/>
            <w:shd w:val="clear" w:color="auto" w:fill="DBEEF3" w:themeFill="accent5" w:themeFillTint="3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pacing w:val="-10"/>
                <w:szCs w:val="21"/>
              </w:rPr>
              <w:t>产品技术标准</w:t>
            </w:r>
            <w:r>
              <w:rPr>
                <w:rFonts w:hint="eastAsia" w:ascii="宋体" w:hAnsi="宋体"/>
                <w:color w:val="000000"/>
                <w:spacing w:val="-10"/>
                <w:szCs w:val="21"/>
                <w:lang w:eastAsia="zh-CN"/>
              </w:rPr>
              <w:t>：</w:t>
            </w:r>
            <w:r>
              <w:rPr>
                <w:rFonts w:hint="eastAsia" w:ascii="宋体" w:hAnsi="宋体"/>
                <w:color w:val="000000"/>
                <w:spacing w:val="-10"/>
                <w:szCs w:val="21"/>
                <w:lang w:val="en-US" w:eastAsia="zh-CN"/>
              </w:rPr>
              <w:t>QB/T1333-2018、</w:t>
            </w:r>
            <w:r>
              <w:rPr>
                <w:rFonts w:hint="eastAsia" w:ascii="宋体" w:hAnsi="宋体" w:eastAsia="宋体" w:cs="宋体"/>
                <w:sz w:val="24"/>
                <w:szCs w:val="24"/>
                <w:lang w:eastAsia="zh-CN"/>
              </w:rPr>
              <w:t>QB/T 2155-2018</w:t>
            </w:r>
          </w:p>
        </w:tc>
        <w:tc>
          <w:tcPr>
            <w:tcW w:w="1063" w:type="dxa"/>
            <w:shd w:val="clear" w:color="auto" w:fill="DBEEF3" w:themeFill="accent5" w:themeFillTint="3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b/>
                <w:color w:val="000000"/>
                <w:sz w:val="20"/>
                <w:szCs w:val="20"/>
              </w:rPr>
              <w:t>检验、</w:t>
            </w: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b/>
                <w:color w:val="000000"/>
                <w:sz w:val="20"/>
                <w:szCs w:val="20"/>
              </w:rPr>
              <w:t>采购过程</w:t>
            </w: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p>
      <w:pPr>
        <w:spacing w:before="156" w:beforeLines="50" w:after="62" w:afterLines="20" w:line="360" w:lineRule="exact"/>
        <w:ind w:firstLine="211" w:firstLineChars="100"/>
        <w:rPr>
          <w:rFonts w:ascii="宋体"/>
          <w:b/>
          <w:color w:val="000000"/>
          <w:spacing w:val="-2"/>
          <w:szCs w:val="21"/>
        </w:rPr>
      </w:pPr>
      <w:r>
        <w:rPr>
          <w:rFonts w:hint="eastAsia" w:eastAsia="黑体"/>
          <w:b/>
          <w:szCs w:val="21"/>
          <w:lang w:val="en-US" w:eastAsia="zh-CN"/>
        </w:rPr>
        <w:t xml:space="preserve"> </w:t>
      </w: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ascii="宋体"/>
                <w:b/>
                <w:color w:val="000000"/>
                <w:szCs w:val="21"/>
              </w:rPr>
            </w:pPr>
            <w:r>
              <w:rPr>
                <w:rFonts w:hint="eastAsia" w:ascii="宋体"/>
                <w:b/>
                <w:color w:val="000000"/>
                <w:szCs w:val="21"/>
              </w:rPr>
              <w:t>初步定于</w:t>
            </w:r>
            <w:bookmarkStart w:id="32" w:name="二阶段审核日期"/>
            <w:r>
              <w:rPr>
                <w:rFonts w:hint="eastAsia" w:ascii="宋体"/>
                <w:b/>
                <w:color w:val="000000"/>
                <w:szCs w:val="21"/>
              </w:rPr>
              <w:t>2022-</w:t>
            </w:r>
            <w:bookmarkEnd w:id="32"/>
            <w:r>
              <w:rPr>
                <w:rFonts w:hint="eastAsia" w:ascii="宋体"/>
                <w:b/>
                <w:color w:val="000000"/>
                <w:szCs w:val="21"/>
                <w:lang w:val="en-US" w:eastAsia="zh-CN"/>
              </w:rPr>
              <w:t>3-1至2022-3-2</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widowControl/>
              <w:jc w:val="left"/>
              <w:rPr>
                <w:rFonts w:ascii="宋体"/>
                <w:b/>
                <w:color w:val="000000"/>
                <w:szCs w:val="21"/>
              </w:rPr>
            </w:pPr>
            <w:r>
              <w:rPr>
                <w:rFonts w:hint="eastAsia" w:ascii="宋体" w:hAnsi="宋体"/>
                <w:b/>
                <w:color w:val="000000"/>
                <w:szCs w:val="21"/>
              </w:rPr>
              <w:t>评价项目</w:t>
            </w:r>
          </w:p>
        </w:tc>
        <w:tc>
          <w:tcPr>
            <w:tcW w:w="756" w:type="dxa"/>
          </w:tcPr>
          <w:p>
            <w:pPr>
              <w:widowControl/>
              <w:jc w:val="left"/>
              <w:rPr>
                <w:rFonts w:ascii="宋体"/>
                <w:b/>
                <w:color w:val="000000"/>
                <w:szCs w:val="21"/>
              </w:rPr>
            </w:pPr>
          </w:p>
        </w:tc>
        <w:tc>
          <w:tcPr>
            <w:tcW w:w="755"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6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0" w:firstLineChars="400"/>
        <w:rPr>
          <w:rFonts w:ascii="宋体"/>
          <w:b/>
          <w:color w:val="000000"/>
          <w:szCs w:val="21"/>
        </w:rPr>
      </w:pPr>
      <w:r>
        <w:drawing>
          <wp:anchor distT="0" distB="0" distL="114300" distR="114300" simplePos="0" relativeHeight="251660288" behindDoc="1" locked="0" layoutInCell="1" allowOverlap="1">
            <wp:simplePos x="0" y="0"/>
            <wp:positionH relativeFrom="column">
              <wp:posOffset>3946525</wp:posOffset>
            </wp:positionH>
            <wp:positionV relativeFrom="paragraph">
              <wp:posOffset>5080</wp:posOffset>
            </wp:positionV>
            <wp:extent cx="550545" cy="307340"/>
            <wp:effectExtent l="0" t="0" r="8255" b="1016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550545" cy="307340"/>
                    </a:xfrm>
                    <a:prstGeom prst="rect">
                      <a:avLst/>
                    </a:prstGeom>
                    <a:noFill/>
                    <a:ln w="9525">
                      <a:noFill/>
                    </a:ln>
                  </pic:spPr>
                </pic:pic>
              </a:graphicData>
            </a:graphic>
          </wp:anchor>
        </w:drawing>
      </w: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drawing>
          <wp:anchor distT="0" distB="0" distL="114300" distR="114300" simplePos="0" relativeHeight="251660288" behindDoc="1" locked="0" layoutInCell="1" allowOverlap="1">
            <wp:simplePos x="0" y="0"/>
            <wp:positionH relativeFrom="column">
              <wp:posOffset>1738630</wp:posOffset>
            </wp:positionH>
            <wp:positionV relativeFrom="paragraph">
              <wp:posOffset>-38100</wp:posOffset>
            </wp:positionV>
            <wp:extent cx="721360" cy="234315"/>
            <wp:effectExtent l="0" t="0" r="2540" b="698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721360" cy="234315"/>
                    </a:xfrm>
                    <a:prstGeom prst="rect">
                      <a:avLst/>
                    </a:prstGeom>
                    <a:noFill/>
                    <a:ln w="9525">
                      <a:noFill/>
                    </a:ln>
                  </pic:spPr>
                </pic:pic>
              </a:graphicData>
            </a:graphic>
          </wp:anchor>
        </w:drawing>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w:t>
      </w:r>
      <w:r>
        <w:rPr>
          <w:rFonts w:hint="eastAsia" w:ascii="宋体" w:hAnsi="宋体"/>
          <w:b/>
          <w:color w:val="000000"/>
          <w:szCs w:val="21"/>
          <w:lang w:val="en-US" w:eastAsia="zh-CN"/>
        </w:rPr>
        <w:t>2022.2.28</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Yu Gothic UI">
    <w:panose1 w:val="020B0500000000000000"/>
    <w:charset w:val="80"/>
    <w:family w:val="auto"/>
    <w:pitch w:val="default"/>
    <w:sig w:usb0="E00002FF" w:usb1="2AC7FDFF" w:usb2="00000016" w:usb3="00000000" w:csb0="2002009F" w:csb1="00000000"/>
  </w:font>
  <w:font w:name="方正仿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華康楷書體W3">
    <w:altName w:val="宋体"/>
    <w:panose1 w:val="00000000000000000000"/>
    <w:charset w:val="88"/>
    <w:family w:val="modern"/>
    <w:pitch w:val="default"/>
    <w:sig w:usb0="00000000" w:usb1="00000000" w:usb2="00000010" w:usb3="00000000" w:csb0="00100000" w:csb1="00000000"/>
  </w:font>
  <w:font w:name="Lucida Sans">
    <w:panose1 w:val="020B0602030504020204"/>
    <w:charset w:val="00"/>
    <w:family w:val="swiss"/>
    <w:pitch w:val="default"/>
    <w:sig w:usb0="00000003" w:usb1="00000000" w:usb2="00000000" w:usb3="00000000" w:csb0="2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36663A85"/>
    <w:rsid w:val="61E943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8">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customStyle="1"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ScaleCrop>false</ScaleCrop>
  <LinksUpToDate>false</LinksUpToDate>
  <CharactersWithSpaces>9461</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zwt</cp:lastModifiedBy>
  <dcterms:modified xsi:type="dcterms:W3CDTF">2022-03-01T23:55:12Z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2052-10.1.0.6875</vt:lpwstr>
  </property>
</Properties>
</file>