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准格尔旗卓正煤矿有限责任公司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1" w:name="专业代码"/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E：29.11.01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   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E：29.11.01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煤炭市场调研-煤炭市场招标-业务洽谈→签订合同→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装运业务→交付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重要环境因素：固体废弃物排放、潜在火灾事故、煤粉的排放；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控制措施：储煤场进行封闭管理、车辆用帆布遮盖、制定防火应急预案并进行日常检查；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《中华人民共和国环境保护法》、《中华人民共和国合同法》、《中华人民共和国消费者权益保护法》、《中华人民共和国计量法》、《中华人民共和国道路交通安全法》、《中华人民共和国交通安全法实施条例》、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中华人民共和国国务院令《排污许可管理条例》2020年12月9日”、“发改委13号令 《煤炭经营监管办法》（2014年9月1日实施）”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《中华人民共和国固体废物污染环境防治法》（2020年4月29日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《中华人民共和国固体废物污染环境防治法》，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112395</wp:posOffset>
                  </wp:positionV>
                  <wp:extent cx="899795" cy="422910"/>
                  <wp:effectExtent l="0" t="0" r="1905" b="889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99695</wp:posOffset>
                  </wp:positionV>
                  <wp:extent cx="899795" cy="422910"/>
                  <wp:effectExtent l="0" t="0" r="1905" b="8890"/>
                  <wp:wrapSquare wrapText="bothSides"/>
                  <wp:docPr id="3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准格尔旗卓正煤矿有限责任公司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EnMS：1.1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赵  鑫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EnMS：1.1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  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480" w:lineRule="exact"/>
              <w:ind w:left="0" w:leftChars="0" w:firstLine="0" w:firstLineChars="0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煤炭市场调研-煤炭市场招标-业务洽谈→签订合同→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装运业务→交付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HAnsi" w:hAnsiTheme="minorHAnsi" w:eastAsiaTheme="minorEastAsia" w:cstheme="minorBidi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  <w:lang w:val="en-US" w:eastAsia="zh-CN"/>
              </w:rPr>
              <w:t>煤场用电、倒运/装煤车辆耗柴油、采暖锅炉耗煤；</w:t>
            </w:r>
          </w:p>
          <w:p>
            <w:pPr>
              <w:snapToGrid w:val="0"/>
              <w:spacing w:line="280" w:lineRule="exact"/>
              <w:rPr>
                <w:rFonts w:hint="default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</w:rPr>
              <w:t>主要能源参数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  <w:lang w:val="en-US" w:eastAsia="zh-CN"/>
              </w:rPr>
              <w:t>kgce/吨（销售单位吨煤能耗）、kgce/万元（单位万元能耗）；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节约能源法、合同法、计量法、能源管理体系、煤矿企业能源管理体系认证要求、综合能耗计算通则等。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42545</wp:posOffset>
                  </wp:positionV>
                  <wp:extent cx="1244600" cy="653415"/>
                  <wp:effectExtent l="0" t="0" r="0" b="6985"/>
                  <wp:wrapSquare wrapText="bothSides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92710</wp:posOffset>
                  </wp:positionV>
                  <wp:extent cx="899795" cy="422910"/>
                  <wp:effectExtent l="0" t="0" r="1905" b="8890"/>
                  <wp:wrapSquare wrapText="bothSides"/>
                  <wp:docPr id="5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2022.4.10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7580A38"/>
    <w:rsid w:val="361F2E11"/>
    <w:rsid w:val="76DD5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left="1260" w:leftChars="600"/>
    </w:pPr>
    <w:rPr>
      <w:rFonts w:ascii="Arial" w:hAnsi="Arial" w:eastAsia="华文细黑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2022-04-14T00:53:46Z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