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北京圣泰虹旭科技发展有限公司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北京市通州区潞城镇武兴路201号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北京市丰台区王佐镇大灰厂路下庄1号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田原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18610582683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saintart@126.com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陈冬威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18610582683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0037-2021-QEO-2022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Q：资质范围内舞美、舞台灯光、音视频的设计、安装及调试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E：资质范围内舞美、舞台灯光、音视频的设计、安装及调试所涉及场所的相关环境管理活动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O：资质范围内舞美、舞台灯光、音视频的设计、安装及调试所涉及场所的相关职业健康安全管理活动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Q：28.07.01;34.05.00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E：28.07.01;34.05.00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O：28.07.01;34.05.00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bookmarkStart w:id="33" w:name="_GoBack"/>
            <w:bookmarkEnd w:id="33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2022年03月08日 上午至2022年03月09日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秦保才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北京圣泰虹旭文化传媒有限公司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Q:28.07.01,34.05.00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E:28.07.01,34.05.00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O:28.07.01,34.05.00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15210507003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2022.3.7</w:t>
            </w:r>
          </w:p>
        </w:tc>
      </w:tr>
    </w:tbl>
    <w:p/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2022.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3.8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(含安全事务代表）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</w:rPr>
              <w:t>9.3/10.1/10.3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>S: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lang w:val="en-US" w:eastAsia="zh-CN"/>
              </w:rPr>
              <w:t>17：00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lang w:val="en-US" w:eastAsia="zh-CN"/>
              </w:rPr>
              <w:t>综合部(含财务）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7.1.3/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7.2/7.3/7.4/7.5/9.1.3/9.2/10.2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:5.3/6.1.2/6.1.2/6.1.3/6.2/7.2/7.3/7.4/7.5/8.1/8.2/9.2/10.1/10.2/9.1.2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lang w:val="en-US" w:eastAsia="zh-CN"/>
              </w:rPr>
              <w:t>18：00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lang w:val="en-US" w:eastAsia="zh-CN"/>
              </w:rPr>
              <w:t>（含多场所路途60分钟）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18"/>
                <w:lang w:val="en-US" w:eastAsia="zh-CN"/>
              </w:rPr>
              <w:t>项目部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/>
                <w:sz w:val="20"/>
              </w:rPr>
              <w:t>资质范围内舞美、舞台灯光、音视频的设计、安装及调试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的过程控制情况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设计开发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记录，以及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设计开发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过程中的环境、职业健康安全管理情况的控制等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:</w:t>
            </w:r>
            <w:r>
              <w:rPr>
                <w:rFonts w:ascii="宋体" w:hAnsi="宋体"/>
                <w:color w:val="000000" w:themeColor="text1"/>
                <w:sz w:val="18"/>
                <w:szCs w:val="22"/>
              </w:rPr>
              <w:t>5</w:t>
            </w:r>
            <w:r>
              <w:rPr>
                <w:rFonts w:ascii="宋体" w:hAnsi="宋体"/>
                <w:color w:val="000000" w:themeColor="text1"/>
                <w:sz w:val="18"/>
              </w:rPr>
              <w:t>.3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/6.1/6.2/7.1.3/7.1.4/7.1.5/7.1.6/</w:t>
            </w:r>
            <w:r>
              <w:rPr>
                <w:rFonts w:ascii="宋体" w:hAnsi="宋体"/>
                <w:color w:val="000000" w:themeColor="text1"/>
                <w:sz w:val="18"/>
              </w:rPr>
              <w:t>8.1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/8.2/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8.4/</w:t>
            </w:r>
            <w:r>
              <w:rPr>
                <w:rFonts w:ascii="宋体" w:hAnsi="宋体"/>
                <w:color w:val="000000" w:themeColor="text1"/>
                <w:sz w:val="18"/>
              </w:rPr>
              <w:t>8.5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</w:t>
            </w:r>
            <w:r>
              <w:rPr>
                <w:rFonts w:ascii="宋体" w:hAnsi="宋体"/>
                <w:color w:val="000000" w:themeColor="text1"/>
                <w:sz w:val="18"/>
              </w:rPr>
              <w:t>8.6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/8</w:t>
            </w:r>
            <w:r>
              <w:rPr>
                <w:rFonts w:ascii="宋体" w:hAnsi="宋体"/>
                <w:color w:val="000000" w:themeColor="text1"/>
                <w:sz w:val="18"/>
              </w:rPr>
              <w:t>.7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</w:t>
            </w:r>
            <w:r>
              <w:rPr>
                <w:rFonts w:ascii="宋体" w:hAnsi="宋体"/>
                <w:color w:val="000000" w:themeColor="text1"/>
                <w:sz w:val="18"/>
              </w:rPr>
              <w:t>0.2</w:t>
            </w:r>
          </w:p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</w:rPr>
              <w:t>:5.3/6.1.2/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6.1.3/6.2/</w:t>
            </w:r>
            <w:r>
              <w:rPr>
                <w:rFonts w:ascii="宋体" w:hAnsi="宋体"/>
                <w:color w:val="000000" w:themeColor="text1"/>
                <w:sz w:val="18"/>
              </w:rPr>
              <w:t>8.1/8.2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/10.1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2022.3.9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7" w:type="dxa"/>
            <w:gridSpan w:val="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人事行政部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项目部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AA67B4"/>
    <w:rsid w:val="650011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2022-03-09T13:46:10Z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