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陕西宏基混凝土构件有限责任公司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原材料进场→ 砼配比设计及砼性能试验 → 计量，搅拌生产过程 → 运输管理 → 泵送施工 →  协助需方对混凝土进行养护指导 → 质量回访及售后服务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能源的种类：主要消耗的能源为电力和柴、汽油；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能源的来源：电力，来源于政府供电部门及本公司自己发电；柴、汽油，来源于市政加油站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经统计分析，本公司主要消耗的能源为电力，主要用于水泥生产加工；柴油，主要用于水泥搅拌运输；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能源参数：综合能耗tce、单位产品能耗Kgce/m³、单位产值能耗kgce/万元。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《企业能源评审技术通则》（GB/T17166）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《节能监测技术通则》（GB/T15316）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《综合能耗计算通则》（GB/T 2589 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《企业能耗计量与测试导则》（GB/T6422）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《企业节能量计算方法》（GB/T13234）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《工业企业能源管理导则》（GB/T15587）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《用能单位能源计量器具配备与管理通则》 (GB/T17167)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《评价企业合理用电技术导则》（GB/T3485）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《能源管理体系要求及使用指南》 (ISO50001:2018)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《中华人民共和国可再生能源法》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《高耗能设备淘汰名录》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预拌混凝土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ab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GB14902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混凝土质量控制标准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ab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GB50164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混凝土强度检验评定标准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ab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GB/T 50107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普通混凝土配合比设计规程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JGJ55-2011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普通混凝土拌和物性能试验方法标准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GB/T50080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普通混凝土力学性能试验方法标准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GB/T50081-2002 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普通混凝土长期性能和耐久性能试验方法标准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GB/T50082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168910</wp:posOffset>
                  </wp:positionV>
                  <wp:extent cx="347980" cy="267335"/>
                  <wp:effectExtent l="0" t="0" r="7620" b="1206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126365</wp:posOffset>
                  </wp:positionV>
                  <wp:extent cx="640715" cy="300990"/>
                  <wp:effectExtent l="0" t="0" r="6985" b="3810"/>
                  <wp:wrapSquare wrapText="bothSides"/>
                  <wp:docPr id="1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_GoBack"/>
            <w:bookmarkEnd w:id="1"/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E557B2B"/>
    <w:rsid w:val="38BC5E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2022-06-22T03:23:14Z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2052-11.1.0.11435</vt:lpwstr>
  </property>
</Properties>
</file>