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p>
    <w:p>
      <w:pPr>
        <w:spacing w:line="480" w:lineRule="exact"/>
        <w:jc w:val="cente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1164"/>
        <w:gridCol w:w="11012"/>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56"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1164"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1012" w:type="dxa"/>
            <w:vAlign w:val="center"/>
          </w:tcPr>
          <w:p>
            <w:pPr>
              <w:snapToGrid w:val="0"/>
              <w:spacing w:line="360" w:lineRule="auto"/>
              <w:rPr>
                <w:rFonts w:hint="default" w:ascii="宋体" w:hAnsi="宋体" w:eastAsia="宋体" w:cs="宋体"/>
                <w:szCs w:val="21"/>
                <w:lang w:val="en-US" w:eastAsia="zh-CN"/>
              </w:rPr>
            </w:pPr>
            <w:r>
              <w:rPr>
                <w:rFonts w:ascii="宋体" w:hAnsi="宋体" w:cs="宋体"/>
                <w:szCs w:val="21"/>
              </w:rPr>
              <w:t>受审核部门：</w:t>
            </w:r>
            <w:r>
              <w:rPr>
                <w:rFonts w:hint="eastAsia" w:ascii="宋体" w:hAnsi="宋体" w:cs="宋体"/>
                <w:szCs w:val="21"/>
                <w:lang w:val="en-US" w:eastAsia="zh-CN"/>
              </w:rPr>
              <w:t>综合部</w:t>
            </w:r>
            <w:r>
              <w:rPr>
                <w:rFonts w:ascii="宋体" w:hAnsi="宋体" w:cs="宋体"/>
                <w:szCs w:val="21"/>
              </w:rPr>
              <w:t xml:space="preserve"> </w:t>
            </w:r>
            <w:r>
              <w:rPr>
                <w:rFonts w:hint="eastAsia" w:ascii="宋体" w:hAnsi="宋体" w:cs="宋体"/>
                <w:szCs w:val="21"/>
                <w:lang w:eastAsia="zh-CN"/>
              </w:rPr>
              <w:t>（</w:t>
            </w:r>
            <w:r>
              <w:rPr>
                <w:rFonts w:hint="eastAsia" w:ascii="宋体" w:hAnsi="宋体" w:cs="宋体"/>
                <w:szCs w:val="21"/>
                <w:lang w:val="en-US" w:eastAsia="zh-CN"/>
              </w:rPr>
              <w:t>含</w:t>
            </w:r>
            <w:r>
              <w:rPr>
                <w:rFonts w:hint="eastAsia" w:ascii="宋体" w:hAnsi="宋体" w:cs="新宋体"/>
                <w:szCs w:val="21"/>
              </w:rPr>
              <w:t>财务</w:t>
            </w:r>
            <w:r>
              <w:rPr>
                <w:rFonts w:hint="eastAsia" w:ascii="宋体" w:hAnsi="宋体" w:cs="宋体"/>
                <w:szCs w:val="21"/>
                <w:lang w:eastAsia="zh-CN"/>
              </w:rPr>
              <w:t>）</w:t>
            </w:r>
            <w:r>
              <w:rPr>
                <w:rFonts w:hint="eastAsia" w:ascii="宋体" w:hAnsi="宋体" w:cs="新宋体"/>
                <w:szCs w:val="21"/>
                <w:lang w:val="en-US" w:eastAsia="zh-CN"/>
              </w:rPr>
              <w:t xml:space="preserve">            </w:t>
            </w:r>
            <w:r>
              <w:rPr>
                <w:rFonts w:ascii="宋体" w:hAnsi="宋体" w:cs="宋体"/>
                <w:szCs w:val="21"/>
              </w:rPr>
              <w:t>主管领导：</w:t>
            </w:r>
            <w:r>
              <w:rPr>
                <w:rFonts w:hint="eastAsia" w:ascii="宋体" w:hAnsi="宋体" w:cs="宋体"/>
                <w:szCs w:val="21"/>
                <w:lang w:val="en-US" w:eastAsia="zh-CN"/>
              </w:rPr>
              <w:t xml:space="preserve">梁牡丹                  </w:t>
            </w:r>
            <w:r>
              <w:rPr>
                <w:rFonts w:ascii="宋体" w:hAnsi="宋体" w:cs="宋体"/>
                <w:szCs w:val="21"/>
              </w:rPr>
              <w:t>陪同人员：</w:t>
            </w:r>
            <w:r>
              <w:rPr>
                <w:rFonts w:hint="eastAsia" w:ascii="宋体" w:hAnsi="宋体" w:cs="宋体"/>
                <w:szCs w:val="21"/>
                <w:lang w:val="en-US" w:eastAsia="zh-CN"/>
              </w:rPr>
              <w:t>秦喜梅</w:t>
            </w:r>
          </w:p>
        </w:tc>
        <w:tc>
          <w:tcPr>
            <w:tcW w:w="577"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56" w:type="dxa"/>
            <w:vMerge w:val="continue"/>
            <w:vAlign w:val="center"/>
          </w:tcPr>
          <w:p>
            <w:pPr>
              <w:rPr>
                <w:color w:val="000000" w:themeColor="text1"/>
              </w:rPr>
            </w:pPr>
          </w:p>
        </w:tc>
        <w:tc>
          <w:tcPr>
            <w:tcW w:w="1164" w:type="dxa"/>
            <w:vMerge w:val="continue"/>
            <w:vAlign w:val="center"/>
          </w:tcPr>
          <w:p>
            <w:pPr>
              <w:rPr>
                <w:color w:val="000000" w:themeColor="text1"/>
              </w:rPr>
            </w:pPr>
          </w:p>
        </w:tc>
        <w:tc>
          <w:tcPr>
            <w:tcW w:w="11012" w:type="dxa"/>
            <w:vAlign w:val="center"/>
          </w:tcPr>
          <w:p>
            <w:pPr>
              <w:spacing w:line="360" w:lineRule="auto"/>
              <w:rPr>
                <w:rFonts w:ascii="宋体" w:hAnsi="宋体" w:cs="宋体"/>
                <w:szCs w:val="21"/>
              </w:rPr>
            </w:pPr>
            <w:r>
              <w:rPr>
                <w:rFonts w:hint="eastAsia" w:ascii="宋体" w:hAnsi="宋体" w:cs="宋体"/>
                <w:szCs w:val="21"/>
              </w:rPr>
              <w:t>审核员：</w:t>
            </w:r>
            <w:r>
              <w:rPr>
                <w:rFonts w:hint="eastAsia" w:ascii="宋体" w:hAnsi="宋体" w:cs="宋体"/>
                <w:szCs w:val="21"/>
                <w:lang w:val="en-US" w:eastAsia="zh-CN"/>
              </w:rPr>
              <w:t>郭力  赵亚亚</w:t>
            </w:r>
            <w:r>
              <w:rPr>
                <w:rFonts w:hint="eastAsia" w:ascii="宋体" w:hAnsi="宋体" w:cs="宋体"/>
                <w:szCs w:val="21"/>
              </w:rPr>
              <w:t xml:space="preserve">            审核时间：20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w:t>
            </w:r>
          </w:p>
        </w:tc>
        <w:tc>
          <w:tcPr>
            <w:tcW w:w="577"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956" w:type="dxa"/>
            <w:vMerge w:val="continue"/>
            <w:vAlign w:val="center"/>
          </w:tcPr>
          <w:p>
            <w:pPr>
              <w:rPr>
                <w:color w:val="000000" w:themeColor="text1"/>
              </w:rPr>
            </w:pPr>
          </w:p>
        </w:tc>
        <w:tc>
          <w:tcPr>
            <w:tcW w:w="1164" w:type="dxa"/>
            <w:vMerge w:val="continue"/>
            <w:vAlign w:val="center"/>
          </w:tcPr>
          <w:p>
            <w:pPr>
              <w:rPr>
                <w:color w:val="000000" w:themeColor="text1"/>
              </w:rPr>
            </w:pPr>
          </w:p>
        </w:tc>
        <w:tc>
          <w:tcPr>
            <w:tcW w:w="11012" w:type="dxa"/>
            <w:vAlign w:val="center"/>
          </w:tcPr>
          <w:p>
            <w:pPr>
              <w:snapToGrid w:val="0"/>
              <w:spacing w:line="360" w:lineRule="auto"/>
            </w:pPr>
            <w:r>
              <w:rPr>
                <w:rFonts w:hint="eastAsia"/>
              </w:rPr>
              <w:t>审核条款：</w:t>
            </w:r>
          </w:p>
          <w:p>
            <w:pPr>
              <w:snapToGrid w:val="0"/>
              <w:spacing w:line="360" w:lineRule="auto"/>
              <w:ind w:firstLine="210" w:firstLineChars="100"/>
            </w:pPr>
            <w:r>
              <w:rPr>
                <w:rFonts w:hint="eastAsia"/>
                <w:szCs w:val="22"/>
              </w:rPr>
              <w:t>5.3；6.2；7.1.2；7.1.4；7.1.5</w:t>
            </w:r>
            <w:r>
              <w:rPr>
                <w:rFonts w:hint="eastAsia"/>
                <w:szCs w:val="22"/>
                <w:lang w:eastAsia="zh-CN"/>
              </w:rPr>
              <w:t>、</w:t>
            </w:r>
            <w:r>
              <w:rPr>
                <w:rFonts w:hint="eastAsia"/>
                <w:szCs w:val="22"/>
              </w:rPr>
              <w:t>7.1.6；7.2；7.3；7.5；9.1.1；9.1.3；</w:t>
            </w:r>
            <w:r>
              <w:rPr>
                <w:rFonts w:hint="eastAsia"/>
                <w:szCs w:val="22"/>
                <w:lang w:val="en-US" w:eastAsia="zh-CN"/>
              </w:rPr>
              <w:t>9.2；</w:t>
            </w:r>
            <w:r>
              <w:rPr>
                <w:rFonts w:hint="eastAsia"/>
                <w:szCs w:val="22"/>
              </w:rPr>
              <w:t>10.2；</w:t>
            </w:r>
          </w:p>
        </w:tc>
        <w:tc>
          <w:tcPr>
            <w:tcW w:w="577"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6" w:type="dxa"/>
            <w:vAlign w:val="center"/>
          </w:tcPr>
          <w:p>
            <w:pPr>
              <w:spacing w:line="360" w:lineRule="auto"/>
              <w:rPr>
                <w:color w:val="000000" w:themeColor="text1"/>
              </w:rPr>
            </w:pPr>
            <w:r>
              <w:rPr>
                <w:rFonts w:hint="eastAsia" w:ascii="宋体" w:hAnsi="宋体" w:cs="Arial"/>
                <w:szCs w:val="21"/>
              </w:rPr>
              <w:t>组织的岗位、职责和权限</w:t>
            </w:r>
          </w:p>
        </w:tc>
        <w:tc>
          <w:tcPr>
            <w:tcW w:w="1164" w:type="dxa"/>
          </w:tcPr>
          <w:p>
            <w:pPr>
              <w:spacing w:line="360" w:lineRule="auto"/>
              <w:rPr>
                <w:rFonts w:ascii="宋体" w:hAnsi="宋体" w:cs="Arial"/>
                <w:szCs w:val="21"/>
              </w:rPr>
            </w:pPr>
          </w:p>
          <w:p>
            <w:pPr>
              <w:spacing w:line="360" w:lineRule="auto"/>
              <w:rPr>
                <w:rFonts w:ascii="宋体" w:hAnsi="宋体" w:cs="Arial"/>
                <w:szCs w:val="21"/>
              </w:rPr>
            </w:pPr>
          </w:p>
          <w:p>
            <w:pPr>
              <w:spacing w:line="360" w:lineRule="auto"/>
              <w:rPr>
                <w:rFonts w:hint="eastAsia" w:ascii="宋体" w:hAnsi="宋体" w:cs="Arial"/>
                <w:szCs w:val="21"/>
              </w:rPr>
            </w:pPr>
          </w:p>
          <w:p>
            <w:pPr>
              <w:spacing w:line="360" w:lineRule="auto"/>
              <w:ind w:firstLine="210" w:firstLineChars="100"/>
              <w:rPr>
                <w:color w:val="000000" w:themeColor="text1"/>
              </w:rPr>
            </w:pPr>
            <w:r>
              <w:rPr>
                <w:rFonts w:hint="eastAsia" w:ascii="宋体" w:hAnsi="宋体" w:cs="Arial"/>
                <w:szCs w:val="21"/>
              </w:rPr>
              <w:t>Q5.3</w:t>
            </w:r>
          </w:p>
        </w:tc>
        <w:tc>
          <w:tcPr>
            <w:tcW w:w="11012" w:type="dxa"/>
            <w:vAlign w:val="center"/>
          </w:tcPr>
          <w:p>
            <w:pPr>
              <w:tabs>
                <w:tab w:val="center" w:pos="3169"/>
              </w:tabs>
              <w:spacing w:line="360" w:lineRule="auto"/>
              <w:jc w:val="left"/>
              <w:rPr>
                <w:rFonts w:hint="eastAsia"/>
                <w:szCs w:val="22"/>
              </w:rPr>
            </w:pPr>
            <w:r>
              <w:rPr>
                <w:rFonts w:hint="eastAsia"/>
                <w:szCs w:val="22"/>
              </w:rPr>
              <w:t>部门负责人：</w:t>
            </w:r>
            <w:r>
              <w:rPr>
                <w:rFonts w:hint="eastAsia" w:ascii="宋体" w:hAnsi="宋体" w:cs="宋体"/>
                <w:szCs w:val="21"/>
                <w:lang w:val="en-US" w:eastAsia="zh-CN"/>
              </w:rPr>
              <w:t xml:space="preserve">梁牡丹 </w:t>
            </w:r>
            <w:r>
              <w:rPr>
                <w:rFonts w:hint="eastAsia"/>
                <w:szCs w:val="22"/>
              </w:rPr>
              <w:t xml:space="preserve"> </w:t>
            </w:r>
          </w:p>
          <w:p>
            <w:pPr>
              <w:tabs>
                <w:tab w:val="center" w:pos="3169"/>
              </w:tabs>
              <w:spacing w:line="360" w:lineRule="auto"/>
              <w:jc w:val="left"/>
              <w:rPr>
                <w:rFonts w:hint="eastAsia" w:ascii="宋体" w:hAnsi="宋体" w:cs="新宋体"/>
                <w:sz w:val="21"/>
                <w:szCs w:val="21"/>
              </w:rPr>
            </w:pPr>
            <w:r>
              <w:rPr>
                <w:rFonts w:hint="eastAsia"/>
                <w:szCs w:val="22"/>
              </w:rPr>
              <w:t>询问主要职责：</w:t>
            </w:r>
            <w:r>
              <w:rPr>
                <w:rFonts w:hint="eastAsia" w:ascii="宋体" w:hAnsi="宋体" w:cs="新宋体"/>
                <w:sz w:val="21"/>
                <w:szCs w:val="21"/>
              </w:rPr>
              <w:t>负责体系文件、资料和记录的管理，包括发放、保存等工作，并作好相关记录；协助管理者代表贯彻落实本公司管理方针和目标指标；负责制定培训计划并组织培训，建立职工教育档案；负责统筹本公司内、外部相关信息的传递、处理及内部沟通活动；根据管理者代表的部署，制定内部审核计划，组织实施内部审核，并监督检查纠正措施的落实；负责管理评审工作；负责管理体系绩效的监测和测量；负责法律、法规合规性评价。</w:t>
            </w:r>
          </w:p>
          <w:p>
            <w:pPr>
              <w:tabs>
                <w:tab w:val="center" w:pos="3169"/>
              </w:tabs>
              <w:spacing w:line="360" w:lineRule="auto"/>
              <w:jc w:val="left"/>
              <w:rPr>
                <w:rFonts w:hint="eastAsia" w:ascii="宋体" w:hAnsi="宋体" w:cs="新宋体"/>
                <w:sz w:val="21"/>
                <w:szCs w:val="21"/>
              </w:rPr>
            </w:pPr>
            <w:r>
              <w:rPr>
                <w:rFonts w:hint="eastAsia" w:ascii="宋体" w:hAnsi="宋体" w:cs="新宋体"/>
                <w:sz w:val="21"/>
                <w:szCs w:val="21"/>
              </w:rPr>
              <w:t>财务人员</w:t>
            </w:r>
            <w:r>
              <w:rPr>
                <w:rFonts w:hint="eastAsia" w:ascii="宋体" w:hAnsi="宋体" w:cs="新宋体"/>
                <w:sz w:val="21"/>
                <w:szCs w:val="21"/>
                <w:lang w:eastAsia="zh-CN"/>
              </w:rPr>
              <w:t>，</w:t>
            </w:r>
            <w:r>
              <w:rPr>
                <w:rFonts w:hint="eastAsia" w:ascii="宋体" w:hAnsi="宋体" w:cs="新宋体"/>
                <w:sz w:val="21"/>
                <w:szCs w:val="21"/>
              </w:rPr>
              <w:t>负责办理经营投标所需的银行担保及资金证明，提供所需的企业财务状况资料；对本公司各部门的资金使用状况进行监督与管理；负责本公司财务的日常管理工作；</w:t>
            </w:r>
          </w:p>
          <w:p>
            <w:pPr>
              <w:tabs>
                <w:tab w:val="center" w:pos="3169"/>
              </w:tabs>
              <w:spacing w:line="360" w:lineRule="auto"/>
              <w:jc w:val="left"/>
              <w:rPr>
                <w:rFonts w:hint="eastAsia" w:ascii="宋体" w:hAnsi="宋体" w:eastAsia="宋体" w:cs="新宋体"/>
                <w:sz w:val="18"/>
                <w:szCs w:val="18"/>
                <w:lang w:eastAsia="zh-CN"/>
              </w:rPr>
            </w:pPr>
            <w:r>
              <w:rPr>
                <w:rFonts w:hint="eastAsia" w:ascii="宋体" w:hAnsi="宋体" w:cs="新宋体"/>
                <w:sz w:val="21"/>
                <w:szCs w:val="21"/>
                <w:lang w:val="en-US" w:eastAsia="zh-CN"/>
              </w:rPr>
              <w:t>该</w:t>
            </w:r>
            <w:r>
              <w:rPr>
                <w:rFonts w:hint="eastAsia" w:ascii="宋体" w:hAnsi="宋体" w:cs="新宋体"/>
                <w:sz w:val="21"/>
                <w:szCs w:val="21"/>
              </w:rPr>
              <w:t>部门职责清晰、明确。</w:t>
            </w:r>
            <w:r>
              <w:rPr>
                <w:rFonts w:hint="eastAsia" w:ascii="宋体" w:hAnsi="宋体" w:cs="新宋体"/>
                <w:sz w:val="21"/>
                <w:szCs w:val="21"/>
                <w:lang w:eastAsia="zh-CN"/>
              </w:rPr>
              <w:t>综合部</w:t>
            </w:r>
            <w:r>
              <w:rPr>
                <w:rFonts w:hint="eastAsia" w:ascii="宋体" w:hAnsi="宋体" w:cs="新宋体"/>
                <w:sz w:val="21"/>
                <w:szCs w:val="21"/>
              </w:rPr>
              <w:t>负责人能基本阐述本部门的主要职责</w:t>
            </w:r>
            <w:r>
              <w:rPr>
                <w:rFonts w:hint="eastAsia" w:ascii="宋体" w:hAnsi="宋体" w:cs="新宋体"/>
                <w:sz w:val="21"/>
                <w:szCs w:val="21"/>
                <w:lang w:eastAsia="zh-CN"/>
              </w:rPr>
              <w:t>。</w:t>
            </w:r>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trPr>
        <w:tc>
          <w:tcPr>
            <w:tcW w:w="1956" w:type="dxa"/>
          </w:tcPr>
          <w:p>
            <w:pPr>
              <w:rPr>
                <w:rFonts w:asciiTheme="minorEastAsia" w:hAnsiTheme="minorEastAsia" w:eastAsiaTheme="minorEastAsia" w:cstheme="minorEastAsia"/>
                <w:color w:val="000000" w:themeColor="text1"/>
                <w:szCs w:val="21"/>
              </w:rPr>
            </w:pPr>
          </w:p>
          <w:p>
            <w:pPr>
              <w:rPr>
                <w:rFonts w:asciiTheme="minorEastAsia" w:hAnsiTheme="minorEastAsia" w:eastAsiaTheme="minorEastAsia" w:cstheme="minorEastAsia"/>
                <w:color w:val="000000" w:themeColor="text1"/>
                <w:szCs w:val="21"/>
              </w:rPr>
            </w:pPr>
          </w:p>
          <w:p>
            <w:pPr>
              <w:rPr>
                <w:rFonts w:asciiTheme="minorEastAsia" w:hAnsiTheme="minorEastAsia" w:eastAsiaTheme="minorEastAsia" w:cstheme="minorEastAsia"/>
                <w:color w:val="000000" w:themeColor="text1"/>
                <w:szCs w:val="21"/>
              </w:rPr>
            </w:pPr>
          </w:p>
          <w:p>
            <w:pPr>
              <w:rPr>
                <w:rFonts w:hint="default" w:asciiTheme="minorEastAsia" w:hAnsiTheme="minorEastAsia" w:eastAsiaTheme="minorEastAsia" w:cstheme="minorEastAsia"/>
                <w:color w:val="000000" w:themeColor="text1"/>
                <w:szCs w:val="21"/>
                <w:lang w:val="en-US" w:eastAsia="zh-CN"/>
              </w:rPr>
            </w:pPr>
            <w:r>
              <w:rPr>
                <w:rFonts w:hint="eastAsia" w:asciiTheme="minorEastAsia" w:hAnsiTheme="minorEastAsia" w:eastAsiaTheme="minorEastAsia" w:cstheme="minorEastAsia"/>
                <w:color w:val="000000" w:themeColor="text1"/>
                <w:szCs w:val="21"/>
                <w:lang w:val="en-US" w:eastAsia="zh-CN"/>
              </w:rPr>
              <w:t>质量</w:t>
            </w:r>
            <w:r>
              <w:rPr>
                <w:rFonts w:hint="eastAsia" w:asciiTheme="minorEastAsia" w:hAnsiTheme="minorEastAsia" w:eastAsiaTheme="minorEastAsia" w:cstheme="minorEastAsia"/>
                <w:color w:val="000000" w:themeColor="text1"/>
                <w:szCs w:val="21"/>
              </w:rPr>
              <w:t>目标</w:t>
            </w:r>
            <w:r>
              <w:rPr>
                <w:rFonts w:hint="eastAsia" w:asciiTheme="minorEastAsia" w:hAnsiTheme="minorEastAsia" w:eastAsiaTheme="minorEastAsia" w:cstheme="minorEastAsia"/>
                <w:color w:val="000000" w:themeColor="text1"/>
                <w:szCs w:val="21"/>
                <w:lang w:val="en-US" w:eastAsia="zh-CN"/>
              </w:rPr>
              <w:t>及其实现的策划</w:t>
            </w:r>
          </w:p>
          <w:p>
            <w:pPr>
              <w:rPr>
                <w:color w:val="000000" w:themeColor="text1"/>
              </w:rPr>
            </w:pPr>
          </w:p>
        </w:tc>
        <w:tc>
          <w:tcPr>
            <w:tcW w:w="1164" w:type="dxa"/>
          </w:tcPr>
          <w:p>
            <w:pPr>
              <w:pStyle w:val="16"/>
              <w:rPr>
                <w:rFonts w:ascii="宋体" w:hAnsi="宋体" w:cs="Arial"/>
                <w:szCs w:val="21"/>
              </w:rPr>
            </w:pPr>
          </w:p>
          <w:p>
            <w:pPr>
              <w:pStyle w:val="16"/>
              <w:rPr>
                <w:rFonts w:ascii="宋体" w:hAnsi="宋体" w:cs="Arial"/>
                <w:szCs w:val="21"/>
              </w:rPr>
            </w:pPr>
          </w:p>
          <w:p>
            <w:pPr>
              <w:pStyle w:val="16"/>
              <w:rPr>
                <w:rFonts w:ascii="宋体" w:hAnsi="宋体" w:cs="Arial"/>
                <w:szCs w:val="21"/>
              </w:rPr>
            </w:pPr>
          </w:p>
          <w:p>
            <w:pPr>
              <w:pStyle w:val="16"/>
              <w:ind w:firstLine="230" w:firstLineChars="100"/>
              <w:rPr>
                <w:color w:val="000000" w:themeColor="text1"/>
              </w:rPr>
            </w:pPr>
            <w:r>
              <w:rPr>
                <w:rFonts w:hint="eastAsia" w:ascii="宋体" w:hAnsi="宋体" w:cs="Arial"/>
                <w:szCs w:val="21"/>
              </w:rPr>
              <w:t>Q</w:t>
            </w:r>
            <w:r>
              <w:rPr>
                <w:rFonts w:hint="eastAsia" w:ascii="宋体" w:hAnsi="宋体" w:cs="新宋体"/>
                <w:szCs w:val="21"/>
              </w:rPr>
              <w:t>6.2</w:t>
            </w:r>
          </w:p>
        </w:tc>
        <w:tc>
          <w:tcPr>
            <w:tcW w:w="11012" w:type="dxa"/>
          </w:tcPr>
          <w:p>
            <w:pPr>
              <w:tabs>
                <w:tab w:val="center" w:pos="3169"/>
              </w:tabs>
              <w:spacing w:line="400" w:lineRule="exact"/>
              <w:jc w:val="left"/>
              <w:rPr>
                <w:rFonts w:hint="eastAsia"/>
                <w:szCs w:val="22"/>
              </w:rPr>
            </w:pPr>
            <w:r>
              <w:rPr>
                <w:rFonts w:hint="eastAsia"/>
                <w:szCs w:val="22"/>
                <w:lang w:val="en-US" w:eastAsia="zh-CN"/>
              </w:rPr>
              <w:t>提供</w:t>
            </w:r>
            <w:r>
              <w:rPr>
                <w:rFonts w:hint="eastAsia"/>
                <w:szCs w:val="22"/>
              </w:rPr>
              <w:t>了《质量目标分解与完成情况统计分析》，公司有将质量目标分解到各个部门，</w:t>
            </w:r>
          </w:p>
          <w:p>
            <w:pPr>
              <w:tabs>
                <w:tab w:val="center" w:pos="3169"/>
              </w:tabs>
              <w:spacing w:line="400" w:lineRule="exact"/>
              <w:jc w:val="left"/>
              <w:rPr>
                <w:rFonts w:hint="default" w:eastAsia="宋体"/>
                <w:szCs w:val="22"/>
                <w:lang w:val="en-US" w:eastAsia="zh-CN"/>
              </w:rPr>
            </w:pPr>
            <w:r>
              <w:rPr>
                <w:rFonts w:hint="eastAsia"/>
                <w:szCs w:val="22"/>
                <w:lang w:eastAsia="zh-CN"/>
              </w:rPr>
              <w:t>综合部</w:t>
            </w:r>
            <w:r>
              <w:rPr>
                <w:rFonts w:hint="eastAsia"/>
                <w:szCs w:val="22"/>
              </w:rPr>
              <w:t>的目标是：</w:t>
            </w:r>
            <w:r>
              <w:rPr>
                <w:rFonts w:hint="eastAsia"/>
                <w:szCs w:val="22"/>
                <w:lang w:val="en-US" w:eastAsia="zh-CN"/>
              </w:rPr>
              <w:t xml:space="preserve">           完成情况</w:t>
            </w:r>
          </w:p>
          <w:p>
            <w:pPr>
              <w:spacing w:line="360" w:lineRule="exact"/>
              <w:rPr>
                <w:rFonts w:hint="default"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 xml:space="preserve">培训计划实施100%；  </w:t>
            </w:r>
            <w:r>
              <w:rPr>
                <w:rFonts w:hint="eastAsia" w:ascii="宋体" w:hAnsi="宋体" w:cs="宋体"/>
                <w:sz w:val="21"/>
                <w:szCs w:val="21"/>
                <w:lang w:val="en-US" w:eastAsia="zh-CN"/>
              </w:rPr>
              <w:t xml:space="preserve">    </w:t>
            </w:r>
            <w:r>
              <w:rPr>
                <w:rFonts w:hint="eastAsia" w:ascii="宋体" w:hAnsi="宋体" w:eastAsia="宋体" w:cs="宋体"/>
                <w:sz w:val="21"/>
                <w:szCs w:val="21"/>
              </w:rPr>
              <w:t>100%</w:t>
            </w:r>
          </w:p>
          <w:p>
            <w:pPr>
              <w:spacing w:line="360" w:lineRule="exact"/>
              <w:rPr>
                <w:rFonts w:hint="default"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文件发放及时率</w:t>
            </w:r>
            <w:r>
              <w:rPr>
                <w:rFonts w:hint="eastAsia" w:ascii="宋体" w:hAnsi="宋体" w:eastAsia="宋体" w:cs="宋体"/>
                <w:sz w:val="21"/>
                <w:szCs w:val="21"/>
              </w:rPr>
              <w:t>100%;</w:t>
            </w:r>
            <w:r>
              <w:rPr>
                <w:rFonts w:hint="eastAsia" w:ascii="宋体" w:hAnsi="宋体" w:cs="宋体"/>
                <w:sz w:val="21"/>
                <w:szCs w:val="21"/>
                <w:lang w:val="en-US" w:eastAsia="zh-CN"/>
              </w:rPr>
              <w:t xml:space="preserve">     </w:t>
            </w:r>
            <w:r>
              <w:rPr>
                <w:rFonts w:hint="eastAsia" w:ascii="宋体" w:hAnsi="宋体" w:eastAsia="宋体" w:cs="宋体"/>
                <w:sz w:val="21"/>
                <w:szCs w:val="21"/>
              </w:rPr>
              <w:t>100%</w:t>
            </w:r>
          </w:p>
          <w:p>
            <w:pPr>
              <w:tabs>
                <w:tab w:val="center" w:pos="3169"/>
              </w:tabs>
              <w:spacing w:line="400" w:lineRule="exact"/>
              <w:jc w:val="left"/>
              <w:rPr>
                <w:szCs w:val="22"/>
              </w:rPr>
            </w:pPr>
            <w:r>
              <w:rPr>
                <w:rFonts w:hint="eastAsia"/>
                <w:szCs w:val="22"/>
              </w:rPr>
              <w:t>20</w:t>
            </w:r>
            <w:r>
              <w:rPr>
                <w:rFonts w:hint="eastAsia"/>
                <w:szCs w:val="22"/>
                <w:lang w:val="en-US" w:eastAsia="zh-CN"/>
              </w:rPr>
              <w:t>21</w:t>
            </w:r>
            <w:r>
              <w:rPr>
                <w:rFonts w:hint="eastAsia"/>
                <w:szCs w:val="22"/>
              </w:rPr>
              <w:t>年</w:t>
            </w:r>
            <w:r>
              <w:rPr>
                <w:rFonts w:hint="eastAsia"/>
                <w:szCs w:val="22"/>
                <w:lang w:val="en-US" w:eastAsia="zh-CN"/>
              </w:rPr>
              <w:t>12</w:t>
            </w:r>
            <w:r>
              <w:rPr>
                <w:rFonts w:hint="eastAsia"/>
                <w:szCs w:val="22"/>
              </w:rPr>
              <w:t>月</w:t>
            </w:r>
            <w:r>
              <w:rPr>
                <w:rFonts w:hint="eastAsia"/>
                <w:szCs w:val="22"/>
                <w:lang w:val="en-US" w:eastAsia="zh-CN"/>
              </w:rPr>
              <w:t>25</w:t>
            </w:r>
            <w:r>
              <w:rPr>
                <w:rFonts w:hint="eastAsia"/>
                <w:szCs w:val="22"/>
              </w:rPr>
              <w:t>日，检查人员：</w:t>
            </w:r>
            <w:r>
              <w:rPr>
                <w:rFonts w:hint="eastAsia"/>
                <w:szCs w:val="22"/>
                <w:lang w:val="en-US" w:eastAsia="zh-CN"/>
              </w:rPr>
              <w:t>梁牡丹</w:t>
            </w:r>
            <w:r>
              <w:rPr>
                <w:rFonts w:hint="eastAsia"/>
                <w:szCs w:val="22"/>
              </w:rPr>
              <w:t>，考核情况：经查已完成。</w:t>
            </w:r>
          </w:p>
        </w:tc>
        <w:tc>
          <w:tcPr>
            <w:tcW w:w="577"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3"/>
              <w:ind w:left="0" w:leftChars="0" w:firstLine="0" w:firstLineChars="0"/>
              <w:rPr>
                <w:rFonts w:hint="eastAsia" w:eastAsia="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6" w:hRule="atLeast"/>
        </w:trPr>
        <w:tc>
          <w:tcPr>
            <w:tcW w:w="1956" w:type="dxa"/>
          </w:tcPr>
          <w:p>
            <w:pPr>
              <w:rPr>
                <w:color w:val="000000" w:themeColor="text1"/>
                <w:szCs w:val="21"/>
              </w:rPr>
            </w:pPr>
          </w:p>
          <w:p>
            <w:pPr>
              <w:rPr>
                <w:color w:val="000000" w:themeColor="text1"/>
                <w:szCs w:val="21"/>
              </w:rPr>
            </w:pPr>
          </w:p>
          <w:p>
            <w:pPr>
              <w:rPr>
                <w:rFonts w:hint="eastAsia" w:eastAsia="宋体"/>
                <w:color w:val="000000" w:themeColor="text1"/>
                <w:lang w:eastAsia="zh-CN"/>
              </w:rPr>
            </w:pPr>
            <w:r>
              <w:rPr>
                <w:rFonts w:hint="eastAsia"/>
                <w:color w:val="000000" w:themeColor="text1"/>
                <w:szCs w:val="21"/>
              </w:rPr>
              <w:t>人员、能力、</w:t>
            </w:r>
            <w:r>
              <w:rPr>
                <w:rFonts w:hint="eastAsia"/>
                <w:color w:val="000000" w:themeColor="text1"/>
                <w:szCs w:val="21"/>
                <w:lang w:val="en-US" w:eastAsia="zh-CN"/>
              </w:rPr>
              <w:t>意识</w:t>
            </w:r>
          </w:p>
        </w:tc>
        <w:tc>
          <w:tcPr>
            <w:tcW w:w="1164" w:type="dxa"/>
          </w:tcPr>
          <w:p>
            <w:pPr>
              <w:pStyle w:val="16"/>
              <w:rPr>
                <w:rFonts w:ascii="宋体" w:hAnsi="宋体" w:cs="新宋体"/>
                <w:szCs w:val="21"/>
              </w:rPr>
            </w:pPr>
          </w:p>
          <w:p>
            <w:pPr>
              <w:pStyle w:val="16"/>
              <w:rPr>
                <w:rFonts w:ascii="宋体" w:hAnsi="宋体" w:cs="新宋体"/>
                <w:szCs w:val="21"/>
              </w:rPr>
            </w:pPr>
            <w:r>
              <w:rPr>
                <w:rFonts w:hint="eastAsia" w:ascii="宋体" w:hAnsi="宋体" w:cs="Arial"/>
                <w:szCs w:val="21"/>
              </w:rPr>
              <w:t>Q</w:t>
            </w:r>
            <w:r>
              <w:rPr>
                <w:rFonts w:hint="eastAsia" w:ascii="宋体" w:hAnsi="宋体" w:cs="新宋体"/>
                <w:szCs w:val="21"/>
              </w:rPr>
              <w:t>7.1.2</w:t>
            </w:r>
          </w:p>
          <w:p>
            <w:pPr>
              <w:pStyle w:val="16"/>
              <w:rPr>
                <w:rFonts w:hint="eastAsia" w:ascii="宋体" w:hAnsi="宋体" w:cs="新宋体"/>
                <w:szCs w:val="21"/>
              </w:rPr>
            </w:pPr>
            <w:r>
              <w:rPr>
                <w:rFonts w:hint="eastAsia" w:ascii="宋体" w:hAnsi="宋体" w:cs="Arial"/>
                <w:szCs w:val="21"/>
              </w:rPr>
              <w:t>Q</w:t>
            </w:r>
            <w:r>
              <w:rPr>
                <w:rFonts w:hint="eastAsia" w:ascii="宋体" w:hAnsi="宋体" w:cs="新宋体"/>
                <w:szCs w:val="21"/>
              </w:rPr>
              <w:t>7.2</w:t>
            </w:r>
          </w:p>
          <w:p>
            <w:pPr>
              <w:pStyle w:val="16"/>
              <w:rPr>
                <w:rFonts w:ascii="宋体" w:hAnsi="宋体" w:cs="新宋体"/>
                <w:szCs w:val="21"/>
              </w:rPr>
            </w:pPr>
            <w:r>
              <w:rPr>
                <w:rFonts w:hint="eastAsia" w:ascii="宋体" w:hAnsi="宋体" w:cs="Arial"/>
                <w:szCs w:val="21"/>
              </w:rPr>
              <w:t>Q</w:t>
            </w:r>
            <w:r>
              <w:rPr>
                <w:rFonts w:hint="eastAsia" w:ascii="宋体" w:hAnsi="宋体" w:cs="新宋体"/>
                <w:szCs w:val="21"/>
              </w:rPr>
              <w:t>7.3</w:t>
            </w:r>
          </w:p>
          <w:p>
            <w:pPr>
              <w:pStyle w:val="16"/>
              <w:rPr>
                <w:rFonts w:ascii="宋体" w:hAnsi="宋体" w:cs="新宋体"/>
                <w:szCs w:val="21"/>
              </w:rPr>
            </w:pPr>
          </w:p>
        </w:tc>
        <w:tc>
          <w:tcPr>
            <w:tcW w:w="11012" w:type="dxa"/>
          </w:tcPr>
          <w:p>
            <w:pPr>
              <w:tabs>
                <w:tab w:val="center" w:pos="3169"/>
              </w:tabs>
              <w:spacing w:line="400" w:lineRule="exact"/>
              <w:jc w:val="left"/>
              <w:rPr>
                <w:rFonts w:hint="eastAsia"/>
                <w:szCs w:val="22"/>
              </w:rPr>
            </w:pPr>
            <w:r>
              <w:rPr>
                <w:rFonts w:hint="eastAsia"/>
                <w:szCs w:val="22"/>
              </w:rPr>
              <w:t>提供《岗位人员任职要求》，对各部门领导层、</w:t>
            </w:r>
            <w:r>
              <w:rPr>
                <w:rFonts w:hint="eastAsia"/>
                <w:szCs w:val="22"/>
                <w:lang w:val="en-US" w:eastAsia="zh-CN"/>
              </w:rPr>
              <w:t>综合部</w:t>
            </w:r>
            <w:r>
              <w:rPr>
                <w:rFonts w:hint="eastAsia"/>
                <w:szCs w:val="22"/>
              </w:rPr>
              <w:t>（</w:t>
            </w:r>
            <w:r>
              <w:rPr>
                <w:rFonts w:hint="eastAsia"/>
                <w:szCs w:val="22"/>
                <w:lang w:val="en-US" w:eastAsia="zh-CN"/>
              </w:rPr>
              <w:t>财务</w:t>
            </w:r>
            <w:r>
              <w:rPr>
                <w:rFonts w:hint="eastAsia"/>
                <w:szCs w:val="22"/>
              </w:rPr>
              <w:t>）、</w:t>
            </w:r>
            <w:r>
              <w:rPr>
                <w:rFonts w:hint="eastAsia"/>
                <w:szCs w:val="22"/>
                <w:lang w:eastAsia="zh-CN"/>
              </w:rPr>
              <w:t>市场部</w:t>
            </w:r>
            <w:r>
              <w:rPr>
                <w:rFonts w:hint="eastAsia"/>
                <w:szCs w:val="22"/>
              </w:rPr>
              <w:t>负责人岗位能力工作权限与内容、任职资格（经验知识个人素质、专业技能）的等作出了规定。</w:t>
            </w:r>
          </w:p>
          <w:p>
            <w:pPr>
              <w:tabs>
                <w:tab w:val="center" w:pos="3169"/>
              </w:tabs>
              <w:spacing w:line="400" w:lineRule="exact"/>
              <w:jc w:val="left"/>
              <w:rPr>
                <w:rFonts w:hint="eastAsia"/>
                <w:szCs w:val="22"/>
              </w:rPr>
            </w:pPr>
            <w:r>
              <w:rPr>
                <w:rFonts w:hint="eastAsia"/>
                <w:szCs w:val="22"/>
              </w:rPr>
              <w:t>查看《员工任职能力评价表》，其中包括：总经理、管代、各部门负责人、业务员等。能够满足公司</w:t>
            </w:r>
            <w:r>
              <w:rPr>
                <w:rFonts w:hint="eastAsia"/>
                <w:szCs w:val="22"/>
                <w:lang w:val="en-US" w:eastAsia="zh-CN"/>
              </w:rPr>
              <w:t>质量</w:t>
            </w:r>
            <w:r>
              <w:rPr>
                <w:rFonts w:hint="eastAsia"/>
                <w:szCs w:val="22"/>
              </w:rPr>
              <w:t>管理体系运行以及体系覆盖产品生产和服务的需求。</w:t>
            </w:r>
          </w:p>
          <w:p>
            <w:pPr>
              <w:tabs>
                <w:tab w:val="center" w:pos="3169"/>
              </w:tabs>
              <w:spacing w:line="400" w:lineRule="exact"/>
              <w:jc w:val="left"/>
              <w:rPr>
                <w:rFonts w:hint="eastAsia"/>
                <w:szCs w:val="22"/>
              </w:rPr>
            </w:pPr>
            <w:r>
              <w:rPr>
                <w:rFonts w:hint="eastAsia"/>
                <w:szCs w:val="22"/>
              </w:rPr>
              <w:t>抽查：管代，</w:t>
            </w:r>
            <w:r>
              <w:rPr>
                <w:rFonts w:hint="eastAsia"/>
                <w:szCs w:val="22"/>
                <w:lang w:val="en-US" w:eastAsia="zh-CN"/>
              </w:rPr>
              <w:t>魏西斌</w:t>
            </w:r>
            <w:r>
              <w:rPr>
                <w:rFonts w:hint="eastAsia"/>
                <w:szCs w:val="22"/>
              </w:rPr>
              <w:t>；</w:t>
            </w:r>
            <w:r>
              <w:rPr>
                <w:rFonts w:hint="eastAsia"/>
                <w:szCs w:val="22"/>
                <w:lang w:val="en-US" w:eastAsia="zh-CN"/>
              </w:rPr>
              <w:t>综合部</w:t>
            </w:r>
            <w:r>
              <w:rPr>
                <w:rFonts w:hint="eastAsia"/>
                <w:szCs w:val="22"/>
              </w:rPr>
              <w:t>，</w:t>
            </w:r>
            <w:r>
              <w:rPr>
                <w:rFonts w:hint="eastAsia" w:ascii="宋体" w:hAnsi="宋体" w:cs="宋体"/>
                <w:szCs w:val="21"/>
                <w:lang w:val="en-US" w:eastAsia="zh-CN"/>
              </w:rPr>
              <w:t>梁牡丹</w:t>
            </w:r>
            <w:r>
              <w:rPr>
                <w:rFonts w:hint="eastAsia"/>
                <w:szCs w:val="22"/>
              </w:rPr>
              <w:t>；</w:t>
            </w:r>
            <w:r>
              <w:rPr>
                <w:rFonts w:hint="eastAsia"/>
                <w:szCs w:val="22"/>
                <w:lang w:val="en-US" w:eastAsia="zh-CN"/>
              </w:rPr>
              <w:t>市场</w:t>
            </w:r>
            <w:r>
              <w:rPr>
                <w:rFonts w:hint="eastAsia"/>
                <w:szCs w:val="22"/>
              </w:rPr>
              <w:t>部，</w:t>
            </w:r>
            <w:r>
              <w:rPr>
                <w:rFonts w:hint="eastAsia"/>
                <w:szCs w:val="22"/>
                <w:lang w:val="en-US" w:eastAsia="zh-CN"/>
              </w:rPr>
              <w:t>董平</w:t>
            </w:r>
            <w:r>
              <w:rPr>
                <w:rFonts w:hint="eastAsia"/>
                <w:szCs w:val="22"/>
              </w:rPr>
              <w:t>等任职人员，从业务知识、学习创新、执行能力、协同能力、工作效率等方面任职能力评价，综合评价：各岗位人员均合格，能满足要求。</w:t>
            </w:r>
          </w:p>
          <w:p>
            <w:pPr>
              <w:spacing w:line="360" w:lineRule="auto"/>
              <w:ind w:firstLine="420" w:firstLineChars="200"/>
              <w:rPr>
                <w:rFonts w:hint="default" w:ascii="宋体" w:hAnsi="宋体"/>
                <w:szCs w:val="21"/>
                <w:lang w:val="en-US" w:eastAsia="zh-CN"/>
              </w:rPr>
            </w:pPr>
            <w:r>
              <w:rPr>
                <w:rFonts w:hint="eastAsia" w:ascii="宋体" w:hAnsi="宋体"/>
                <w:szCs w:val="21"/>
              </w:rPr>
              <w:t>查《</w:t>
            </w:r>
            <w:r>
              <w:rPr>
                <w:rFonts w:hint="eastAsia" w:ascii="宋体" w:hAnsi="宋体"/>
                <w:szCs w:val="21"/>
                <w:lang w:val="en-US" w:eastAsia="zh-CN"/>
              </w:rPr>
              <w:t>2021年度</w:t>
            </w:r>
            <w:r>
              <w:rPr>
                <w:rFonts w:hint="eastAsia" w:ascii="宋体" w:hAnsi="宋体"/>
                <w:szCs w:val="21"/>
              </w:rPr>
              <w:t>培训</w:t>
            </w:r>
            <w:r>
              <w:rPr>
                <w:rFonts w:hint="eastAsia" w:ascii="宋体" w:hAnsi="宋体"/>
                <w:szCs w:val="21"/>
                <w:lang w:val="en-US" w:eastAsia="zh-CN"/>
              </w:rPr>
              <w:t>计划</w:t>
            </w:r>
            <w:r>
              <w:rPr>
                <w:rFonts w:hint="eastAsia" w:ascii="宋体" w:hAnsi="宋体"/>
                <w:szCs w:val="21"/>
              </w:rPr>
              <w:t>》</w:t>
            </w:r>
            <w:r>
              <w:rPr>
                <w:rFonts w:hint="eastAsia" w:ascii="宋体" w:hAnsi="宋体"/>
                <w:szCs w:val="21"/>
                <w:lang w:val="en-US" w:eastAsia="zh-CN"/>
              </w:rPr>
              <w:t>2021.1.5，编制：</w:t>
            </w:r>
            <w:r>
              <w:rPr>
                <w:rFonts w:hint="eastAsia" w:ascii="宋体" w:hAnsi="宋体" w:cs="宋体"/>
                <w:szCs w:val="21"/>
                <w:lang w:val="en-US" w:eastAsia="zh-CN"/>
              </w:rPr>
              <w:t>梁牡丹</w:t>
            </w:r>
            <w:r>
              <w:rPr>
                <w:rFonts w:ascii="宋体" w:hAnsi="宋体" w:cs="宋体"/>
                <w:szCs w:val="21"/>
              </w:rPr>
              <w:t xml:space="preserve"> </w:t>
            </w:r>
            <w:r>
              <w:rPr>
                <w:rFonts w:hint="eastAsia" w:ascii="宋体" w:hAnsi="宋体"/>
                <w:szCs w:val="21"/>
                <w:lang w:eastAsia="zh-CN"/>
              </w:rPr>
              <w:t>；</w:t>
            </w:r>
            <w:r>
              <w:rPr>
                <w:rFonts w:hint="eastAsia" w:ascii="宋体" w:hAnsi="宋体"/>
                <w:szCs w:val="21"/>
                <w:lang w:val="en-US" w:eastAsia="zh-CN"/>
              </w:rPr>
              <w:t>批准：</w:t>
            </w:r>
            <w:r>
              <w:rPr>
                <w:rFonts w:hint="eastAsia" w:ascii="宋体" w:hAnsi="宋体" w:cs="宋体"/>
                <w:szCs w:val="21"/>
                <w:lang w:val="en-US" w:eastAsia="zh-CN"/>
              </w:rPr>
              <w:t>魏西斌</w:t>
            </w:r>
            <w:r>
              <w:rPr>
                <w:rFonts w:hint="eastAsia" w:ascii="宋体" w:hAnsi="宋体"/>
                <w:szCs w:val="21"/>
                <w:lang w:val="en-US" w:eastAsia="zh-CN"/>
              </w:rPr>
              <w:t>，</w:t>
            </w:r>
            <w:r>
              <w:rPr>
                <w:rFonts w:hint="eastAsia" w:ascii="宋体" w:hAnsi="宋体"/>
                <w:szCs w:val="21"/>
              </w:rPr>
              <w:t>内容包括：GB/T1</w:t>
            </w:r>
            <w:r>
              <w:rPr>
                <w:rFonts w:hint="eastAsia" w:ascii="宋体" w:hAnsi="宋体"/>
                <w:szCs w:val="21"/>
                <w:lang w:val="en-US" w:eastAsia="zh-CN"/>
              </w:rPr>
              <w:t>9</w:t>
            </w:r>
            <w:r>
              <w:rPr>
                <w:rFonts w:hint="eastAsia" w:ascii="宋体" w:hAnsi="宋体"/>
                <w:szCs w:val="21"/>
              </w:rPr>
              <w:t>001-2016标准</w:t>
            </w:r>
            <w:r>
              <w:rPr>
                <w:rFonts w:hint="eastAsia" w:ascii="宋体" w:hAnsi="宋体"/>
                <w:szCs w:val="21"/>
                <w:lang w:eastAsia="zh-CN"/>
              </w:rPr>
              <w:t>、</w:t>
            </w:r>
            <w:r>
              <w:rPr>
                <w:rFonts w:hint="eastAsia" w:ascii="宋体" w:hAnsi="宋体"/>
                <w:szCs w:val="21"/>
                <w:lang w:val="en-US" w:eastAsia="zh-CN"/>
              </w:rPr>
              <w:t>文件培训</w:t>
            </w:r>
            <w:r>
              <w:rPr>
                <w:rFonts w:hint="eastAsia" w:ascii="宋体" w:hAnsi="宋体"/>
                <w:szCs w:val="21"/>
              </w:rPr>
              <w:t>；</w:t>
            </w:r>
            <w:r>
              <w:rPr>
                <w:rFonts w:hint="eastAsia" w:ascii="宋体" w:hAnsi="宋体"/>
                <w:szCs w:val="21"/>
                <w:lang w:val="en-US" w:eastAsia="zh-CN"/>
              </w:rPr>
              <w:t>管理制度培训、销售技能培训、内审员培训、法律法规培训、新员工入职培训等。</w:t>
            </w:r>
          </w:p>
          <w:p>
            <w:pPr>
              <w:spacing w:line="360" w:lineRule="auto"/>
              <w:ind w:firstLine="420" w:firstLineChars="200"/>
              <w:rPr>
                <w:rFonts w:hint="default" w:ascii="宋体" w:hAnsi="宋体"/>
                <w:szCs w:val="21"/>
                <w:lang w:val="en-US" w:eastAsia="zh-CN"/>
              </w:rPr>
            </w:pPr>
            <w:r>
              <w:rPr>
                <w:rFonts w:hint="eastAsia" w:ascii="宋体" w:hAnsi="宋体"/>
                <w:szCs w:val="21"/>
              </w:rPr>
              <w:t>抽培训</w:t>
            </w:r>
            <w:r>
              <w:rPr>
                <w:rFonts w:hint="eastAsia" w:ascii="宋体" w:hAnsi="宋体"/>
                <w:szCs w:val="21"/>
                <w:lang w:val="en-US" w:eastAsia="zh-CN"/>
              </w:rPr>
              <w:t>记录</w:t>
            </w:r>
            <w:r>
              <w:rPr>
                <w:rFonts w:hint="eastAsia" w:ascii="宋体" w:hAnsi="宋体"/>
                <w:szCs w:val="21"/>
              </w:rPr>
              <w:t>：</w:t>
            </w:r>
            <w:r>
              <w:rPr>
                <w:rFonts w:hint="eastAsia" w:ascii="宋体" w:hAnsi="宋体"/>
                <w:szCs w:val="21"/>
                <w:lang w:eastAsia="zh-CN"/>
              </w:rPr>
              <w:t>《</w:t>
            </w:r>
            <w:r>
              <w:rPr>
                <w:rFonts w:hint="eastAsia" w:ascii="宋体" w:hAnsi="宋体"/>
                <w:szCs w:val="21"/>
                <w:lang w:val="en-US" w:eastAsia="zh-CN"/>
              </w:rPr>
              <w:t>质量管理制度</w:t>
            </w:r>
            <w:r>
              <w:rPr>
                <w:rFonts w:hint="eastAsia" w:ascii="宋体" w:hAnsi="宋体"/>
                <w:szCs w:val="21"/>
                <w:lang w:eastAsia="zh-CN"/>
              </w:rPr>
              <w:t>》、《</w:t>
            </w:r>
            <w:r>
              <w:rPr>
                <w:rFonts w:hint="eastAsia" w:ascii="宋体" w:hAnsi="宋体"/>
                <w:szCs w:val="21"/>
                <w:lang w:val="en-US" w:eastAsia="zh-CN"/>
              </w:rPr>
              <w:t>销售管理制度</w:t>
            </w:r>
            <w:r>
              <w:rPr>
                <w:rFonts w:hint="eastAsia" w:ascii="宋体" w:hAnsi="宋体"/>
                <w:szCs w:val="21"/>
                <w:lang w:eastAsia="zh-CN"/>
              </w:rPr>
              <w:t>》、《</w:t>
            </w:r>
            <w:r>
              <w:rPr>
                <w:rFonts w:hint="eastAsia" w:ascii="宋体" w:hAnsi="宋体"/>
                <w:szCs w:val="21"/>
                <w:lang w:val="en-US" w:eastAsia="zh-CN"/>
              </w:rPr>
              <w:t>售后服务管理制度</w:t>
            </w:r>
            <w:r>
              <w:rPr>
                <w:rFonts w:hint="eastAsia" w:ascii="宋体" w:hAnsi="宋体"/>
                <w:szCs w:val="21"/>
                <w:lang w:eastAsia="zh-CN"/>
              </w:rPr>
              <w:t>》、《</w:t>
            </w:r>
            <w:r>
              <w:rPr>
                <w:rFonts w:hint="eastAsia" w:ascii="宋体" w:hAnsi="宋体"/>
                <w:szCs w:val="21"/>
                <w:lang w:val="en-US" w:eastAsia="zh-CN"/>
              </w:rPr>
              <w:t>销售过程检验规范</w:t>
            </w:r>
            <w:r>
              <w:rPr>
                <w:rFonts w:hint="eastAsia" w:ascii="宋体" w:hAnsi="宋体"/>
                <w:szCs w:val="21"/>
                <w:lang w:eastAsia="zh-CN"/>
              </w:rPr>
              <w:t>》、《</w:t>
            </w:r>
            <w:r>
              <w:rPr>
                <w:rFonts w:hint="eastAsia" w:ascii="宋体" w:hAnsi="宋体"/>
                <w:szCs w:val="21"/>
                <w:lang w:val="en-US" w:eastAsia="zh-CN"/>
              </w:rPr>
              <w:t>进货检验规范</w:t>
            </w:r>
            <w:r>
              <w:rPr>
                <w:rFonts w:hint="eastAsia" w:ascii="宋体" w:hAnsi="宋体"/>
                <w:szCs w:val="21"/>
                <w:lang w:eastAsia="zh-CN"/>
              </w:rPr>
              <w:t>》</w:t>
            </w:r>
            <w:r>
              <w:rPr>
                <w:rFonts w:hint="eastAsia" w:ascii="宋体" w:hAnsi="宋体"/>
                <w:szCs w:val="21"/>
                <w:lang w:val="en-US" w:eastAsia="zh-CN"/>
              </w:rPr>
              <w:t>等，培训及考核结果记录：培训结束进行了口头考核，参加人员基本掌握了培训要求。</w:t>
            </w:r>
          </w:p>
          <w:p>
            <w:pPr>
              <w:spacing w:line="360" w:lineRule="auto"/>
              <w:ind w:firstLine="420" w:firstLineChars="200"/>
              <w:rPr>
                <w:rFonts w:hint="eastAsia" w:ascii="宋体" w:hAnsi="宋体"/>
                <w:szCs w:val="21"/>
              </w:rPr>
            </w:pPr>
            <w:r>
              <w:rPr>
                <w:rFonts w:hint="eastAsia" w:ascii="宋体" w:hAnsi="宋体"/>
                <w:szCs w:val="21"/>
              </w:rPr>
              <w:t>提供相应的培训记录，及人员签到表和培训效果评价。</w:t>
            </w:r>
          </w:p>
          <w:p>
            <w:pPr>
              <w:spacing w:line="360" w:lineRule="auto"/>
              <w:ind w:firstLine="420" w:firstLineChars="200"/>
              <w:rPr>
                <w:rFonts w:hint="eastAsia" w:ascii="宋体" w:hAnsi="宋体"/>
                <w:szCs w:val="21"/>
              </w:rPr>
            </w:pPr>
            <w:r>
              <w:rPr>
                <w:rFonts w:hint="eastAsia" w:ascii="宋体" w:hAnsi="宋体"/>
                <w:szCs w:val="21"/>
              </w:rPr>
              <w:t>目前公司人员比较稳定，人员没有变化，没有新员工，故，没有新员工培训记录</w:t>
            </w:r>
          </w:p>
          <w:p>
            <w:pPr>
              <w:spacing w:line="360" w:lineRule="auto"/>
              <w:ind w:firstLine="420" w:firstLineChars="200"/>
            </w:pPr>
            <w:r>
              <w:rPr>
                <w:rFonts w:hint="eastAsia" w:ascii="宋体" w:hAnsi="宋体"/>
                <w:szCs w:val="21"/>
              </w:rPr>
              <w:t>人力资源控制基本满足要求。</w:t>
            </w:r>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56" w:type="dxa"/>
          </w:tcPr>
          <w:p>
            <w:pPr>
              <w:tabs>
                <w:tab w:val="center" w:pos="3169"/>
              </w:tabs>
              <w:spacing w:line="400" w:lineRule="exact"/>
              <w:jc w:val="left"/>
              <w:rPr>
                <w:rFonts w:hint="eastAsia" w:ascii="宋体" w:hAnsi="宋体" w:cs="宋体"/>
                <w:szCs w:val="21"/>
                <w:lang w:bidi="ar"/>
              </w:rPr>
            </w:pPr>
          </w:p>
          <w:p>
            <w:pPr>
              <w:tabs>
                <w:tab w:val="center" w:pos="3169"/>
              </w:tabs>
              <w:spacing w:line="400" w:lineRule="exact"/>
              <w:jc w:val="left"/>
              <w:rPr>
                <w:color w:val="000000" w:themeColor="text1"/>
                <w:szCs w:val="21"/>
              </w:rPr>
            </w:pPr>
            <w:r>
              <w:rPr>
                <w:rFonts w:hint="eastAsia" w:ascii="宋体" w:hAnsi="宋体" w:cs="宋体"/>
                <w:szCs w:val="21"/>
                <w:lang w:bidi="ar"/>
              </w:rPr>
              <w:t>运作环境</w:t>
            </w:r>
          </w:p>
        </w:tc>
        <w:tc>
          <w:tcPr>
            <w:tcW w:w="1164" w:type="dxa"/>
          </w:tcPr>
          <w:p>
            <w:pPr>
              <w:spacing w:line="360" w:lineRule="auto"/>
              <w:rPr>
                <w:rFonts w:hint="eastAsia" w:ascii="宋体" w:hAnsi="宋体" w:cs="Arial"/>
                <w:szCs w:val="21"/>
              </w:rPr>
            </w:pPr>
          </w:p>
          <w:p>
            <w:pPr>
              <w:spacing w:line="360" w:lineRule="auto"/>
              <w:rPr>
                <w:rFonts w:ascii="宋体" w:hAnsi="宋体" w:cs="Arial"/>
                <w:szCs w:val="21"/>
              </w:rPr>
            </w:pPr>
            <w:r>
              <w:rPr>
                <w:rFonts w:hint="eastAsia" w:ascii="宋体" w:hAnsi="宋体" w:cs="Arial"/>
                <w:szCs w:val="21"/>
              </w:rPr>
              <w:t>Q7.1.4</w:t>
            </w:r>
          </w:p>
        </w:tc>
        <w:tc>
          <w:tcPr>
            <w:tcW w:w="11012" w:type="dxa"/>
          </w:tcPr>
          <w:p>
            <w:pPr>
              <w:spacing w:line="360" w:lineRule="auto"/>
              <w:ind w:firstLine="420" w:firstLineChars="200"/>
              <w:rPr>
                <w:rFonts w:ascii="宋体" w:hAnsi="宋体"/>
                <w:szCs w:val="21"/>
              </w:rPr>
            </w:pPr>
            <w:r>
              <w:rPr>
                <w:rFonts w:hint="eastAsia" w:ascii="宋体" w:hAnsi="宋体"/>
                <w:szCs w:val="21"/>
              </w:rPr>
              <w:t>公司办公、销售过程对环境要求一般，无特殊要求，各办公区域环境卫生由各部门负责。</w:t>
            </w:r>
          </w:p>
          <w:p>
            <w:pPr>
              <w:spacing w:line="360" w:lineRule="auto"/>
              <w:ind w:firstLine="420" w:firstLineChars="200"/>
              <w:rPr>
                <w:rFonts w:ascii="宋体" w:hAnsi="宋体"/>
                <w:szCs w:val="21"/>
              </w:rPr>
            </w:pPr>
            <w:r>
              <w:rPr>
                <w:rFonts w:hint="eastAsia" w:ascii="宋体" w:hAnsi="宋体"/>
                <w:szCs w:val="21"/>
              </w:rPr>
              <w:t>现场巡视：办公环境光照、温度适宜，通风良好，电路布线合理、电气插座完整，未见破损，办公场所物品摆放整齐、有序，未见随意乱放私人物品的情况，未见用电不当等安全隐患及不良影响现象。</w:t>
            </w:r>
          </w:p>
          <w:p>
            <w:pPr>
              <w:tabs>
                <w:tab w:val="left" w:pos="6597"/>
              </w:tabs>
              <w:spacing w:line="360" w:lineRule="auto"/>
              <w:ind w:firstLine="420" w:firstLineChars="200"/>
              <w:rPr>
                <w:rFonts w:ascii="宋体" w:hAnsi="宋体"/>
                <w:szCs w:val="21"/>
              </w:rPr>
            </w:pPr>
            <w:r>
              <w:rPr>
                <w:rFonts w:hint="eastAsia" w:ascii="宋体" w:hAnsi="宋体"/>
                <w:szCs w:val="21"/>
              </w:rPr>
              <w:t>企业确定并提供了产品要求所需的工作环境，工作环境适宜，现有工作环境能满足提供合格的产品以及销售服务的需要。</w:t>
            </w:r>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56" w:type="dxa"/>
          </w:tcPr>
          <w:p>
            <w:pPr>
              <w:tabs>
                <w:tab w:val="center" w:pos="3169"/>
              </w:tabs>
              <w:spacing w:line="400" w:lineRule="exact"/>
              <w:jc w:val="left"/>
              <w:rPr>
                <w:rFonts w:hint="default" w:ascii="宋体" w:hAnsi="宋体" w:eastAsia="宋体" w:cs="宋体"/>
                <w:szCs w:val="21"/>
                <w:lang w:val="en-US" w:eastAsia="zh-CN" w:bidi="ar"/>
              </w:rPr>
            </w:pPr>
            <w:r>
              <w:rPr>
                <w:rFonts w:hint="eastAsia" w:ascii="宋体" w:hAnsi="宋体" w:cs="宋体"/>
                <w:szCs w:val="21"/>
                <w:lang w:val="en-US" w:eastAsia="zh-CN" w:bidi="ar"/>
              </w:rPr>
              <w:t>监视和测量资源</w:t>
            </w:r>
          </w:p>
        </w:tc>
        <w:tc>
          <w:tcPr>
            <w:tcW w:w="1164" w:type="dxa"/>
          </w:tcPr>
          <w:p>
            <w:pPr>
              <w:spacing w:line="360" w:lineRule="auto"/>
              <w:ind w:firstLine="210" w:firstLineChars="100"/>
              <w:rPr>
                <w:rFonts w:hint="eastAsia" w:ascii="宋体" w:hAnsi="宋体" w:eastAsia="宋体" w:cs="Arial"/>
                <w:szCs w:val="21"/>
                <w:lang w:eastAsia="zh-CN"/>
              </w:rPr>
            </w:pPr>
            <w:r>
              <w:rPr>
                <w:rFonts w:hint="eastAsia" w:ascii="宋体" w:hAnsi="宋体" w:cs="Arial"/>
                <w:szCs w:val="21"/>
              </w:rPr>
              <w:t>Q</w:t>
            </w:r>
            <w:r>
              <w:rPr>
                <w:rFonts w:hint="eastAsia" w:ascii="宋体" w:hAnsi="宋体" w:cs="宋体"/>
                <w:szCs w:val="21"/>
                <w:lang w:bidi="ar"/>
              </w:rPr>
              <w:t>7.1.</w:t>
            </w:r>
            <w:r>
              <w:rPr>
                <w:rFonts w:hint="eastAsia" w:ascii="宋体" w:hAnsi="宋体" w:cs="宋体"/>
                <w:szCs w:val="21"/>
                <w:lang w:val="en-US" w:eastAsia="zh-CN" w:bidi="ar"/>
              </w:rPr>
              <w:t>5</w:t>
            </w:r>
          </w:p>
        </w:tc>
        <w:tc>
          <w:tcPr>
            <w:tcW w:w="11012" w:type="dxa"/>
          </w:tcPr>
          <w:p>
            <w:pPr>
              <w:tabs>
                <w:tab w:val="left" w:pos="6597"/>
              </w:tabs>
              <w:spacing w:line="360" w:lineRule="auto"/>
              <w:rPr>
                <w:rFonts w:hint="eastAsia" w:ascii="宋体" w:hAnsi="宋体" w:eastAsia="宋体"/>
                <w:szCs w:val="21"/>
                <w:lang w:eastAsia="zh-CN"/>
              </w:rPr>
            </w:pPr>
            <w:r>
              <w:rPr>
                <w:rFonts w:hint="eastAsia" w:ascii="宋体" w:hAnsi="宋体"/>
                <w:szCs w:val="21"/>
              </w:rPr>
              <w:t>按照标准和顾客要求销售无需再设计开发，只检查产品外观、合格证、无需计量设备</w:t>
            </w:r>
            <w:r>
              <w:rPr>
                <w:rFonts w:hint="eastAsia" w:ascii="宋体" w:hAnsi="宋体"/>
                <w:szCs w:val="21"/>
                <w:lang w:eastAsia="zh-CN"/>
              </w:rPr>
              <w:t>。</w:t>
            </w:r>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956" w:type="dxa"/>
          </w:tcPr>
          <w:p>
            <w:pPr>
              <w:tabs>
                <w:tab w:val="center" w:pos="3169"/>
              </w:tabs>
              <w:spacing w:line="400" w:lineRule="exact"/>
              <w:jc w:val="left"/>
              <w:rPr>
                <w:rFonts w:ascii="宋体" w:hAnsi="宋体" w:cs="宋体"/>
                <w:szCs w:val="21"/>
                <w:lang w:bidi="ar"/>
              </w:rPr>
            </w:pPr>
          </w:p>
          <w:p>
            <w:pPr>
              <w:tabs>
                <w:tab w:val="center" w:pos="3169"/>
              </w:tabs>
              <w:spacing w:line="400" w:lineRule="exact"/>
              <w:jc w:val="left"/>
              <w:rPr>
                <w:rFonts w:ascii="宋体" w:hAnsi="宋体" w:cs="宋体"/>
                <w:szCs w:val="21"/>
                <w:lang w:bidi="ar"/>
              </w:rPr>
            </w:pPr>
          </w:p>
          <w:p>
            <w:pPr>
              <w:tabs>
                <w:tab w:val="center" w:pos="3169"/>
              </w:tabs>
              <w:spacing w:line="400" w:lineRule="exact"/>
              <w:jc w:val="left"/>
              <w:rPr>
                <w:rFonts w:ascii="宋体" w:hAnsi="宋体" w:cs="宋体"/>
                <w:szCs w:val="21"/>
                <w:lang w:bidi="ar"/>
              </w:rPr>
            </w:pPr>
          </w:p>
          <w:p>
            <w:pPr>
              <w:tabs>
                <w:tab w:val="center" w:pos="3169"/>
              </w:tabs>
              <w:spacing w:line="400" w:lineRule="exact"/>
              <w:ind w:firstLine="210" w:firstLineChars="100"/>
              <w:jc w:val="left"/>
              <w:rPr>
                <w:rFonts w:ascii="宋体" w:hAnsi="宋体" w:cs="宋体"/>
                <w:szCs w:val="21"/>
                <w:lang w:bidi="ar"/>
              </w:rPr>
            </w:pPr>
            <w:r>
              <w:rPr>
                <w:rFonts w:hint="eastAsia" w:ascii="宋体" w:hAnsi="宋体" w:cs="宋体"/>
                <w:szCs w:val="21"/>
                <w:lang w:bidi="ar"/>
              </w:rPr>
              <w:t>组织的知识</w:t>
            </w:r>
          </w:p>
        </w:tc>
        <w:tc>
          <w:tcPr>
            <w:tcW w:w="1164" w:type="dxa"/>
          </w:tcPr>
          <w:p>
            <w:pPr>
              <w:tabs>
                <w:tab w:val="center" w:pos="3169"/>
              </w:tabs>
              <w:spacing w:line="400" w:lineRule="exact"/>
              <w:jc w:val="left"/>
              <w:rPr>
                <w:rFonts w:ascii="宋体" w:hAnsi="宋体" w:cs="宋体"/>
                <w:szCs w:val="21"/>
                <w:lang w:bidi="ar"/>
              </w:rPr>
            </w:pPr>
          </w:p>
          <w:p>
            <w:pPr>
              <w:tabs>
                <w:tab w:val="center" w:pos="3169"/>
              </w:tabs>
              <w:spacing w:line="400" w:lineRule="exact"/>
              <w:jc w:val="left"/>
              <w:rPr>
                <w:rFonts w:ascii="宋体" w:hAnsi="宋体" w:cs="宋体"/>
                <w:szCs w:val="21"/>
                <w:lang w:bidi="ar"/>
              </w:rPr>
            </w:pPr>
          </w:p>
          <w:p>
            <w:pPr>
              <w:tabs>
                <w:tab w:val="center" w:pos="3169"/>
              </w:tabs>
              <w:spacing w:line="400" w:lineRule="exact"/>
              <w:jc w:val="left"/>
              <w:rPr>
                <w:rFonts w:ascii="宋体" w:hAnsi="宋体" w:cs="宋体"/>
                <w:szCs w:val="21"/>
                <w:lang w:bidi="ar"/>
              </w:rPr>
            </w:pPr>
          </w:p>
          <w:p>
            <w:pPr>
              <w:tabs>
                <w:tab w:val="center" w:pos="3169"/>
              </w:tabs>
              <w:spacing w:line="400" w:lineRule="exact"/>
              <w:ind w:firstLine="210" w:firstLineChars="100"/>
              <w:jc w:val="left"/>
              <w:rPr>
                <w:rFonts w:ascii="宋体" w:hAnsi="宋体" w:cs="宋体"/>
                <w:szCs w:val="21"/>
                <w:lang w:bidi="ar"/>
              </w:rPr>
            </w:pPr>
            <w:r>
              <w:rPr>
                <w:rFonts w:hint="eastAsia" w:ascii="宋体" w:hAnsi="宋体" w:cs="Arial"/>
                <w:szCs w:val="21"/>
              </w:rPr>
              <w:t>Q</w:t>
            </w:r>
            <w:r>
              <w:rPr>
                <w:rFonts w:hint="eastAsia" w:ascii="宋体" w:hAnsi="宋体" w:cs="宋体"/>
                <w:szCs w:val="21"/>
                <w:lang w:bidi="ar"/>
              </w:rPr>
              <w:t>7.1.6</w:t>
            </w:r>
          </w:p>
        </w:tc>
        <w:tc>
          <w:tcPr>
            <w:tcW w:w="11012" w:type="dxa"/>
          </w:tcPr>
          <w:p>
            <w:pPr>
              <w:autoSpaceDE w:val="0"/>
              <w:autoSpaceDN w:val="0"/>
              <w:spacing w:line="360" w:lineRule="auto"/>
              <w:ind w:firstLine="420" w:firstLineChars="200"/>
              <w:rPr>
                <w:rFonts w:ascii="宋体" w:hAnsi="宋体"/>
                <w:szCs w:val="21"/>
              </w:rPr>
            </w:pPr>
            <w:r>
              <w:rPr>
                <w:rFonts w:hint="eastAsia" w:ascii="宋体" w:hAnsi="宋体"/>
                <w:szCs w:val="21"/>
              </w:rPr>
              <w:t>经组织识别，组织内外部知识包括：外部知识、专业知识、管理经验、教训，不断发现问题、解决问题，通过会议，文件传达或制定有关作业指导书并进行培训。</w:t>
            </w:r>
          </w:p>
          <w:p>
            <w:pPr>
              <w:autoSpaceDE w:val="0"/>
              <w:autoSpaceDN w:val="0"/>
              <w:spacing w:line="360" w:lineRule="auto"/>
              <w:ind w:firstLine="420" w:firstLineChars="200"/>
              <w:rPr>
                <w:rFonts w:ascii="宋体" w:hAnsi="宋体"/>
                <w:szCs w:val="21"/>
              </w:rPr>
            </w:pPr>
            <w:r>
              <w:rPr>
                <w:rFonts w:hint="eastAsia" w:ascii="宋体" w:hAnsi="宋体"/>
                <w:szCs w:val="21"/>
              </w:rPr>
              <w:t>现场看到组织各部门层次基本有相应的管理制度、岗位职责、工作要求等组织内部知识。此外还通过文件发放、会议传达、专题培训等方式进行内部知识的获得、交流和更新等。</w:t>
            </w:r>
          </w:p>
          <w:p>
            <w:pPr>
              <w:tabs>
                <w:tab w:val="center" w:pos="3169"/>
              </w:tabs>
              <w:spacing w:line="400" w:lineRule="exact"/>
              <w:jc w:val="left"/>
            </w:pPr>
            <w:r>
              <w:rPr>
                <w:rFonts w:hint="eastAsia"/>
                <w:lang w:val="en-US" w:eastAsia="zh-CN"/>
              </w:rPr>
              <w:t>综合部</w:t>
            </w:r>
            <w:r>
              <w:rPr>
                <w:rFonts w:hint="eastAsia"/>
              </w:rPr>
              <w:t>负责整理收集组织相关的知识，定期更新。</w:t>
            </w:r>
          </w:p>
          <w:p>
            <w:pPr>
              <w:pStyle w:val="3"/>
              <w:ind w:left="0"/>
            </w:pPr>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1956" w:type="dxa"/>
          </w:tcPr>
          <w:p>
            <w:pPr>
              <w:tabs>
                <w:tab w:val="center" w:pos="3169"/>
              </w:tabs>
              <w:spacing w:line="400" w:lineRule="exact"/>
              <w:ind w:firstLine="420" w:firstLineChars="200"/>
              <w:jc w:val="left"/>
            </w:pPr>
          </w:p>
          <w:p>
            <w:pPr>
              <w:pStyle w:val="2"/>
              <w:ind w:firstLine="420" w:firstLineChars="200"/>
              <w:rPr>
                <w:rFonts w:ascii="宋体" w:hAnsi="宋体" w:cs="宋体"/>
                <w:b w:val="0"/>
                <w:bCs w:val="0"/>
                <w:sz w:val="21"/>
                <w:szCs w:val="21"/>
                <w:lang w:bidi="ar"/>
              </w:rPr>
            </w:pPr>
          </w:p>
          <w:p>
            <w:pPr>
              <w:pStyle w:val="3"/>
              <w:rPr>
                <w:rFonts w:ascii="宋体" w:hAnsi="宋体" w:cs="宋体"/>
                <w:kern w:val="2"/>
                <w:szCs w:val="21"/>
                <w:lang w:bidi="ar"/>
              </w:rPr>
            </w:pPr>
          </w:p>
          <w:p>
            <w:pPr>
              <w:pStyle w:val="3"/>
              <w:rPr>
                <w:rFonts w:ascii="宋体" w:hAnsi="宋体" w:cs="宋体"/>
                <w:kern w:val="2"/>
                <w:szCs w:val="21"/>
                <w:lang w:bidi="ar"/>
              </w:rPr>
            </w:pPr>
          </w:p>
          <w:p>
            <w:pPr>
              <w:pStyle w:val="3"/>
              <w:rPr>
                <w:rFonts w:ascii="宋体" w:hAnsi="宋体" w:cs="宋体"/>
                <w:kern w:val="2"/>
                <w:szCs w:val="21"/>
                <w:lang w:bidi="ar"/>
              </w:rPr>
            </w:pPr>
          </w:p>
          <w:p>
            <w:pPr>
              <w:pStyle w:val="3"/>
              <w:rPr>
                <w:rFonts w:ascii="宋体" w:hAnsi="宋体" w:cs="宋体"/>
                <w:kern w:val="2"/>
                <w:szCs w:val="21"/>
                <w:lang w:bidi="ar"/>
              </w:rPr>
            </w:pPr>
          </w:p>
          <w:p>
            <w:pPr>
              <w:pStyle w:val="3"/>
              <w:rPr>
                <w:rFonts w:ascii="宋体" w:hAnsi="宋体" w:cs="宋体"/>
                <w:kern w:val="2"/>
                <w:szCs w:val="21"/>
                <w:lang w:bidi="ar"/>
              </w:rPr>
            </w:pPr>
          </w:p>
          <w:p>
            <w:pPr>
              <w:pStyle w:val="2"/>
              <w:ind w:firstLine="420" w:firstLineChars="200"/>
            </w:pPr>
            <w:r>
              <w:rPr>
                <w:rFonts w:hint="eastAsia" w:ascii="宋体" w:hAnsi="宋体" w:cs="宋体"/>
                <w:b w:val="0"/>
                <w:bCs w:val="0"/>
                <w:sz w:val="21"/>
                <w:szCs w:val="21"/>
                <w:lang w:bidi="ar"/>
              </w:rPr>
              <w:t>成文信息</w:t>
            </w:r>
          </w:p>
        </w:tc>
        <w:tc>
          <w:tcPr>
            <w:tcW w:w="1164" w:type="dxa"/>
          </w:tcPr>
          <w:p>
            <w:pPr>
              <w:tabs>
                <w:tab w:val="center" w:pos="3169"/>
              </w:tabs>
              <w:spacing w:line="400" w:lineRule="exact"/>
              <w:jc w:val="left"/>
            </w:pPr>
          </w:p>
          <w:p>
            <w:pPr>
              <w:pStyle w:val="2"/>
            </w:pPr>
          </w:p>
          <w:p>
            <w:pPr>
              <w:pStyle w:val="3"/>
            </w:pPr>
          </w:p>
          <w:p>
            <w:pPr>
              <w:pStyle w:val="3"/>
            </w:pPr>
          </w:p>
          <w:p>
            <w:pPr>
              <w:pStyle w:val="3"/>
            </w:pPr>
          </w:p>
          <w:p>
            <w:pPr>
              <w:pStyle w:val="3"/>
            </w:pPr>
          </w:p>
          <w:p>
            <w:pPr>
              <w:tabs>
                <w:tab w:val="center" w:pos="3169"/>
              </w:tabs>
              <w:spacing w:line="400" w:lineRule="exact"/>
              <w:ind w:firstLine="210" w:firstLineChars="100"/>
              <w:jc w:val="left"/>
              <w:rPr>
                <w:rFonts w:ascii="宋体" w:hAnsi="宋体" w:cs="宋体"/>
                <w:szCs w:val="21"/>
                <w:lang w:bidi="ar"/>
              </w:rPr>
            </w:pPr>
            <w:r>
              <w:rPr>
                <w:rFonts w:hint="eastAsia" w:ascii="宋体" w:hAnsi="宋体" w:cs="宋体"/>
                <w:szCs w:val="21"/>
                <w:lang w:bidi="ar"/>
              </w:rPr>
              <w:t xml:space="preserve">7.5 </w:t>
            </w:r>
          </w:p>
          <w:p>
            <w:pPr>
              <w:pStyle w:val="3"/>
              <w:ind w:left="0"/>
            </w:pPr>
          </w:p>
        </w:tc>
        <w:tc>
          <w:tcPr>
            <w:tcW w:w="11012" w:type="dxa"/>
          </w:tcPr>
          <w:p>
            <w:pPr>
              <w:tabs>
                <w:tab w:val="center" w:pos="3169"/>
              </w:tabs>
              <w:spacing w:line="400" w:lineRule="exact"/>
              <w:jc w:val="left"/>
              <w:rPr>
                <w:rFonts w:ascii="宋体" w:hAnsi="宋体" w:cs="宋体"/>
                <w:szCs w:val="21"/>
                <w:lang w:bidi="ar"/>
              </w:rPr>
            </w:pPr>
            <w:r>
              <w:rPr>
                <w:rFonts w:hint="eastAsia" w:ascii="宋体" w:hAnsi="宋体" w:cs="宋体"/>
                <w:szCs w:val="21"/>
              </w:rPr>
              <w:t>编制了</w:t>
            </w:r>
            <w:r>
              <w:rPr>
                <w:rFonts w:hint="eastAsia" w:ascii="宋体" w:hAnsi="宋体" w:cs="宋体"/>
                <w:szCs w:val="21"/>
                <w:lang w:bidi="ar"/>
              </w:rPr>
              <w:t>《文件控制程序》、《记录控制程序》，体系文件生效实施日期为201</w:t>
            </w:r>
            <w:r>
              <w:rPr>
                <w:rFonts w:hint="eastAsia" w:ascii="宋体" w:hAnsi="宋体" w:cs="宋体"/>
                <w:szCs w:val="21"/>
                <w:lang w:val="en-US" w:eastAsia="zh-CN" w:bidi="ar"/>
              </w:rPr>
              <w:t>9</w:t>
            </w:r>
            <w:r>
              <w:rPr>
                <w:rFonts w:hint="eastAsia" w:ascii="宋体" w:hAnsi="宋体" w:cs="宋体"/>
                <w:szCs w:val="21"/>
                <w:lang w:bidi="ar"/>
              </w:rPr>
              <w:t>年</w:t>
            </w:r>
            <w:r>
              <w:rPr>
                <w:rFonts w:hint="eastAsia" w:ascii="宋体" w:hAnsi="宋体" w:cs="宋体"/>
                <w:szCs w:val="21"/>
                <w:lang w:val="en-US" w:eastAsia="zh-CN" w:bidi="ar"/>
              </w:rPr>
              <w:t>3</w:t>
            </w:r>
            <w:r>
              <w:rPr>
                <w:rFonts w:hint="eastAsia" w:ascii="宋体" w:hAnsi="宋体" w:cs="宋体"/>
                <w:szCs w:val="21"/>
                <w:lang w:bidi="ar"/>
              </w:rPr>
              <w:t>月1</w:t>
            </w:r>
            <w:r>
              <w:rPr>
                <w:rFonts w:hint="eastAsia" w:ascii="宋体" w:hAnsi="宋体" w:cs="宋体"/>
                <w:szCs w:val="21"/>
                <w:lang w:val="en-US" w:eastAsia="zh-CN" w:bidi="ar"/>
              </w:rPr>
              <w:t>0</w:t>
            </w:r>
            <w:r>
              <w:rPr>
                <w:rFonts w:hint="eastAsia" w:ascii="宋体" w:hAnsi="宋体" w:cs="宋体"/>
                <w:szCs w:val="21"/>
                <w:lang w:bidi="ar"/>
              </w:rPr>
              <w:t>日，文件规定了质量文件的编制、审批、评审、编号、回收、发放、更改、换版、作废等的管理和控制。</w:t>
            </w:r>
          </w:p>
          <w:p>
            <w:pPr>
              <w:tabs>
                <w:tab w:val="center" w:pos="3169"/>
              </w:tabs>
              <w:spacing w:line="400" w:lineRule="exact"/>
              <w:ind w:firstLine="210" w:firstLineChars="100"/>
              <w:jc w:val="left"/>
              <w:rPr>
                <w:rFonts w:ascii="宋体" w:hAnsi="宋体" w:cs="宋体"/>
                <w:szCs w:val="21"/>
                <w:lang w:bidi="ar"/>
              </w:rPr>
            </w:pPr>
            <w:r>
              <w:rPr>
                <w:rFonts w:hint="eastAsia" w:ascii="宋体" w:hAnsi="宋体" w:cs="宋体"/>
                <w:szCs w:val="21"/>
                <w:lang w:bidi="ar"/>
              </w:rPr>
              <w:t>查《受控文件清单 》，包括管理手册、程序文件</w:t>
            </w:r>
            <w:r>
              <w:rPr>
                <w:rFonts w:hint="eastAsia" w:ascii="宋体" w:hAnsi="宋体" w:cs="宋体"/>
                <w:szCs w:val="21"/>
                <w:lang w:eastAsia="zh-CN" w:bidi="ar"/>
              </w:rPr>
              <w:t>、</w:t>
            </w:r>
            <w:r>
              <w:rPr>
                <w:rFonts w:hint="eastAsia" w:ascii="宋体" w:hAnsi="宋体" w:cs="宋体"/>
                <w:szCs w:val="21"/>
                <w:lang w:val="en-US" w:eastAsia="zh-CN" w:bidi="ar"/>
              </w:rPr>
              <w:t>管理制度</w:t>
            </w:r>
            <w:r>
              <w:rPr>
                <w:rFonts w:hint="eastAsia" w:ascii="宋体" w:hAnsi="宋体" w:cs="宋体"/>
                <w:szCs w:val="21"/>
                <w:lang w:bidi="ar"/>
              </w:rPr>
              <w:t>等作业文件。</w:t>
            </w:r>
          </w:p>
          <w:p>
            <w:pPr>
              <w:tabs>
                <w:tab w:val="center" w:pos="3169"/>
              </w:tabs>
              <w:spacing w:line="400" w:lineRule="exact"/>
              <w:ind w:firstLine="210" w:firstLineChars="100"/>
              <w:jc w:val="left"/>
              <w:rPr>
                <w:rFonts w:ascii="宋体" w:hAnsi="宋体" w:cs="宋体"/>
                <w:szCs w:val="21"/>
                <w:lang w:bidi="ar"/>
              </w:rPr>
            </w:pPr>
            <w:r>
              <w:rPr>
                <w:rFonts w:hint="eastAsia" w:ascii="宋体" w:hAnsi="宋体" w:cs="宋体"/>
                <w:szCs w:val="21"/>
                <w:lang w:bidi="ar"/>
              </w:rPr>
              <w:t>查：《文件、发放回收记录》，抽查文件发放情况，有收文、发文的确认签字，符合文件发放规定。</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文件资料基本满足岗位工作需要，并为现行有效版本。</w:t>
            </w:r>
          </w:p>
          <w:p>
            <w:pPr>
              <w:tabs>
                <w:tab w:val="center" w:pos="3169"/>
              </w:tabs>
              <w:spacing w:line="400" w:lineRule="exact"/>
              <w:ind w:firstLine="210" w:firstLineChars="100"/>
              <w:jc w:val="left"/>
              <w:rPr>
                <w:rFonts w:ascii="宋体" w:hAnsi="宋体" w:cs="宋体"/>
                <w:szCs w:val="21"/>
                <w:lang w:bidi="ar"/>
              </w:rPr>
            </w:pPr>
            <w:r>
              <w:rPr>
                <w:rFonts w:hint="eastAsia" w:ascii="宋体" w:hAnsi="宋体" w:cs="宋体"/>
                <w:szCs w:val="21"/>
                <w:lang w:bidi="ar"/>
              </w:rPr>
              <w:t>查文件的评审及更新：管理评审时对文件的适宜性及可操作性进行评审：适宜、可操作。</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 xml:space="preserve">  查文件的作废：暂无作废文件。电子文档需要责任部门留下发放记录，并告知换页处置要求。</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文件按需求和公司管理规定发放至有关部门和人员，查有发放记录，符合。</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口头提出待改进项目：</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未对电子文档的安全性管理做出明确规定。</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提供《记录清单》，规定了记录的名称、编号、责任部门、保存期限等内容。</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记录清单中对记录的管理、控制进行明确的分工。</w:t>
            </w:r>
            <w:r>
              <w:rPr>
                <w:rFonts w:hint="eastAsia" w:ascii="宋体" w:hAnsi="宋体" w:cs="宋体"/>
                <w:szCs w:val="21"/>
                <w:lang w:val="en-US" w:eastAsia="zh-CN" w:bidi="ar"/>
              </w:rPr>
              <w:t>综合部</w:t>
            </w:r>
            <w:r>
              <w:rPr>
                <w:rFonts w:hint="eastAsia" w:ascii="宋体" w:hAnsi="宋体" w:cs="宋体"/>
                <w:szCs w:val="21"/>
                <w:lang w:bidi="ar"/>
              </w:rPr>
              <w:t>主要负责归档公司质量标识、编目、保管、贮存，负责本程序的归口管理。见保管的记录：</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 xml:space="preserve"> 法律、法规及其他要求清单；年度培训计划等记录；管理评审计划等记录；</w:t>
            </w:r>
            <w:r>
              <w:rPr>
                <w:rFonts w:hint="eastAsia" w:ascii="宋体" w:hAnsi="宋体" w:cs="宋体"/>
                <w:szCs w:val="21"/>
                <w:lang w:val="en-US" w:eastAsia="zh-CN" w:bidi="ar"/>
              </w:rPr>
              <w:t>合同评审表；合格供方名录；</w:t>
            </w:r>
            <w:r>
              <w:rPr>
                <w:rFonts w:hint="eastAsia" w:ascii="宋体" w:hAnsi="宋体" w:cs="宋体"/>
                <w:szCs w:val="21"/>
                <w:lang w:bidi="ar"/>
              </w:rPr>
              <w:t>岗位人员能力评定记录。</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所见记录反映</w:t>
            </w:r>
            <w:r>
              <w:rPr>
                <w:rFonts w:hint="eastAsia" w:ascii="宋体" w:hAnsi="宋体" w:cs="宋体"/>
                <w:szCs w:val="21"/>
                <w:lang w:val="en-US" w:eastAsia="zh-CN" w:bidi="ar"/>
              </w:rPr>
              <w:t>综合部</w:t>
            </w:r>
            <w:r>
              <w:rPr>
                <w:rFonts w:hint="eastAsia" w:ascii="宋体" w:hAnsi="宋体" w:cs="宋体"/>
                <w:szCs w:val="21"/>
                <w:lang w:bidi="ar"/>
              </w:rPr>
              <w:t>能够按照记录控制要求进行管理，记录保存完整，填写清晰、工整。记录控制符合要求</w:t>
            </w:r>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1956" w:type="dxa"/>
          </w:tcPr>
          <w:p>
            <w:pPr>
              <w:pStyle w:val="2"/>
              <w:ind w:firstLine="420" w:firstLineChars="200"/>
              <w:rPr>
                <w:rFonts w:ascii="宋体" w:hAnsi="宋体" w:cs="宋体"/>
                <w:b w:val="0"/>
                <w:bCs w:val="0"/>
                <w:sz w:val="21"/>
                <w:szCs w:val="21"/>
                <w:lang w:bidi="ar"/>
              </w:rPr>
            </w:pPr>
          </w:p>
          <w:p>
            <w:pPr>
              <w:pStyle w:val="2"/>
              <w:rPr>
                <w:rFonts w:ascii="宋体" w:hAnsi="宋体" w:cs="宋体"/>
                <w:b w:val="0"/>
                <w:bCs w:val="0"/>
                <w:sz w:val="21"/>
                <w:szCs w:val="21"/>
                <w:lang w:bidi="ar"/>
              </w:rPr>
            </w:pPr>
          </w:p>
          <w:p>
            <w:pPr>
              <w:pStyle w:val="3"/>
              <w:rPr>
                <w:rFonts w:ascii="宋体" w:hAnsi="宋体" w:cs="宋体"/>
                <w:kern w:val="2"/>
                <w:szCs w:val="21"/>
                <w:lang w:bidi="ar"/>
              </w:rPr>
            </w:pPr>
          </w:p>
          <w:p>
            <w:pPr>
              <w:pStyle w:val="3"/>
              <w:rPr>
                <w:rFonts w:ascii="宋体" w:hAnsi="宋体" w:cs="宋体"/>
                <w:kern w:val="2"/>
                <w:szCs w:val="21"/>
                <w:lang w:bidi="ar"/>
              </w:rPr>
            </w:pPr>
          </w:p>
          <w:p>
            <w:pPr>
              <w:pStyle w:val="3"/>
              <w:rPr>
                <w:rFonts w:ascii="宋体" w:hAnsi="宋体" w:cs="宋体"/>
                <w:kern w:val="2"/>
                <w:szCs w:val="21"/>
                <w:lang w:bidi="ar"/>
              </w:rPr>
            </w:pPr>
          </w:p>
          <w:p>
            <w:pPr>
              <w:pStyle w:val="3"/>
              <w:rPr>
                <w:rFonts w:ascii="宋体" w:hAnsi="宋体" w:cs="宋体"/>
                <w:kern w:val="2"/>
                <w:szCs w:val="21"/>
                <w:lang w:bidi="ar"/>
              </w:rPr>
            </w:pPr>
          </w:p>
          <w:p>
            <w:pPr>
              <w:pStyle w:val="3"/>
              <w:rPr>
                <w:rFonts w:ascii="宋体" w:hAnsi="宋体" w:cs="宋体"/>
                <w:kern w:val="2"/>
                <w:szCs w:val="21"/>
                <w:lang w:bidi="ar"/>
              </w:rPr>
            </w:pPr>
          </w:p>
          <w:p>
            <w:pPr>
              <w:pStyle w:val="2"/>
              <w:rPr>
                <w:rFonts w:ascii="宋体" w:hAnsi="宋体" w:cs="宋体"/>
                <w:b w:val="0"/>
                <w:bCs w:val="0"/>
                <w:sz w:val="21"/>
                <w:szCs w:val="21"/>
                <w:lang w:bidi="ar"/>
              </w:rPr>
            </w:pPr>
          </w:p>
          <w:p>
            <w:pPr>
              <w:pStyle w:val="2"/>
              <w:rPr>
                <w:rFonts w:ascii="宋体" w:hAnsi="宋体" w:cs="宋体"/>
                <w:b w:val="0"/>
                <w:bCs w:val="0"/>
                <w:sz w:val="21"/>
                <w:szCs w:val="21"/>
                <w:lang w:bidi="ar"/>
              </w:rPr>
            </w:pPr>
            <w:r>
              <w:rPr>
                <w:rFonts w:hint="eastAsia" w:ascii="宋体" w:hAnsi="宋体" w:cs="宋体"/>
                <w:b w:val="0"/>
                <w:bCs w:val="0"/>
                <w:sz w:val="21"/>
                <w:szCs w:val="21"/>
                <w:lang w:bidi="ar"/>
              </w:rPr>
              <w:t>监视、测量、分析和评价</w:t>
            </w:r>
          </w:p>
        </w:tc>
        <w:tc>
          <w:tcPr>
            <w:tcW w:w="1164" w:type="dxa"/>
          </w:tcPr>
          <w:p>
            <w:pPr>
              <w:pStyle w:val="3"/>
              <w:ind w:left="0"/>
              <w:rPr>
                <w:rFonts w:ascii="宋体" w:hAnsi="宋体" w:cs="新宋体"/>
                <w:szCs w:val="21"/>
              </w:rPr>
            </w:pPr>
          </w:p>
          <w:p>
            <w:pPr>
              <w:pStyle w:val="3"/>
              <w:ind w:left="0"/>
              <w:rPr>
                <w:rFonts w:ascii="宋体" w:hAnsi="宋体" w:cs="新宋体"/>
                <w:szCs w:val="21"/>
              </w:rPr>
            </w:pPr>
          </w:p>
          <w:p>
            <w:pPr>
              <w:pStyle w:val="3"/>
              <w:ind w:left="0"/>
              <w:rPr>
                <w:rFonts w:ascii="宋体" w:hAnsi="宋体" w:cs="新宋体"/>
                <w:szCs w:val="21"/>
              </w:rPr>
            </w:pPr>
          </w:p>
          <w:p>
            <w:pPr>
              <w:pStyle w:val="3"/>
              <w:ind w:left="0"/>
              <w:rPr>
                <w:rFonts w:ascii="宋体" w:hAnsi="宋体" w:cs="新宋体"/>
                <w:szCs w:val="21"/>
              </w:rPr>
            </w:pPr>
          </w:p>
          <w:p>
            <w:pPr>
              <w:pStyle w:val="3"/>
              <w:ind w:left="0"/>
              <w:rPr>
                <w:rFonts w:ascii="宋体" w:hAnsi="宋体" w:cs="新宋体"/>
                <w:szCs w:val="21"/>
              </w:rPr>
            </w:pPr>
          </w:p>
          <w:p>
            <w:pPr>
              <w:pStyle w:val="3"/>
              <w:ind w:left="0"/>
              <w:rPr>
                <w:rFonts w:ascii="宋体" w:hAnsi="宋体" w:cs="新宋体"/>
                <w:szCs w:val="21"/>
              </w:rPr>
            </w:pPr>
          </w:p>
          <w:p>
            <w:pPr>
              <w:pStyle w:val="3"/>
              <w:ind w:left="0"/>
              <w:rPr>
                <w:rFonts w:ascii="宋体" w:hAnsi="宋体" w:cs="新宋体"/>
                <w:szCs w:val="21"/>
              </w:rPr>
            </w:pPr>
          </w:p>
          <w:p>
            <w:pPr>
              <w:pStyle w:val="3"/>
              <w:ind w:left="0"/>
            </w:pPr>
            <w:r>
              <w:rPr>
                <w:rFonts w:hint="eastAsia" w:ascii="宋体" w:hAnsi="宋体" w:cs="Arial"/>
                <w:spacing w:val="-6"/>
                <w:szCs w:val="21"/>
              </w:rPr>
              <w:t>Q：9.1.1</w:t>
            </w:r>
            <w:r>
              <w:rPr>
                <w:rFonts w:hint="eastAsia" w:ascii="宋体" w:hAnsi="宋体" w:cs="Arial"/>
                <w:szCs w:val="21"/>
              </w:rPr>
              <w:t>、Q：9.1.3</w:t>
            </w:r>
          </w:p>
        </w:tc>
        <w:tc>
          <w:tcPr>
            <w:tcW w:w="11012" w:type="dxa"/>
          </w:tcPr>
          <w:p>
            <w:pPr>
              <w:snapToGrid w:val="0"/>
              <w:spacing w:line="360" w:lineRule="auto"/>
              <w:ind w:firstLine="420" w:firstLineChars="200"/>
              <w:rPr>
                <w:rFonts w:ascii="宋体" w:hAnsi="宋体" w:cs="宋体"/>
                <w:szCs w:val="21"/>
              </w:rPr>
            </w:pPr>
            <w:r>
              <w:rPr>
                <w:rFonts w:hint="eastAsia" w:ascii="宋体" w:hAnsi="宋体" w:cs="宋体"/>
                <w:szCs w:val="21"/>
              </w:rPr>
              <w:t>公司组织各部门策划和实施必要的监视和测量活动，确保产品、体系和过程的符合性，以持续改进质量管理体系的有效性。公司的过程和体系的监视和测量主要是通过内审、管理评审、目标考核以及日常工作监督、产品检验、顾客满意度测量等的方式完成。</w:t>
            </w:r>
          </w:p>
          <w:p>
            <w:pPr>
              <w:spacing w:line="360" w:lineRule="auto"/>
              <w:ind w:firstLine="420" w:firstLineChars="200"/>
              <w:rPr>
                <w:rFonts w:ascii="宋体" w:hAnsi="宋体" w:cs="宋体"/>
                <w:szCs w:val="21"/>
              </w:rPr>
            </w:pPr>
            <w:r>
              <w:rPr>
                <w:rFonts w:hint="eastAsia" w:ascii="宋体" w:hAnsi="宋体" w:cs="宋体"/>
                <w:szCs w:val="21"/>
                <w:lang w:eastAsia="zh-CN"/>
              </w:rPr>
              <w:t>综合部</w:t>
            </w:r>
            <w:r>
              <w:rPr>
                <w:rFonts w:hint="eastAsia" w:ascii="宋体" w:hAnsi="宋体" w:cs="宋体"/>
                <w:szCs w:val="21"/>
              </w:rPr>
              <w:t>负责对体系、过程的日常监测和质量目标完成情况进行统计分析。对目标完成情况进行收集和统计分析，并制作目标完成情况统计表。</w:t>
            </w:r>
          </w:p>
          <w:p>
            <w:pPr>
              <w:snapToGrid w:val="0"/>
              <w:spacing w:line="360" w:lineRule="auto"/>
              <w:ind w:firstLine="420" w:firstLineChars="200"/>
              <w:rPr>
                <w:rFonts w:ascii="宋体" w:hAnsi="宋体" w:cs="宋体"/>
                <w:szCs w:val="21"/>
              </w:rPr>
            </w:pPr>
            <w:r>
              <w:rPr>
                <w:rFonts w:hint="eastAsia" w:ascii="宋体" w:hAnsi="宋体" w:cs="宋体"/>
                <w:szCs w:val="21"/>
                <w:lang w:eastAsia="zh-CN"/>
              </w:rPr>
              <w:t>市场部</w:t>
            </w:r>
            <w:r>
              <w:rPr>
                <w:rFonts w:hint="eastAsia" w:ascii="宋体" w:hAnsi="宋体" w:cs="宋体"/>
                <w:szCs w:val="21"/>
              </w:rPr>
              <w:t>负责对供方业绩予以评价，对供方业绩实施了监视和测量，并对产品销售过程的监视和测量活动进行了策划和实施。</w:t>
            </w:r>
          </w:p>
          <w:p>
            <w:pPr>
              <w:autoSpaceDE w:val="0"/>
              <w:autoSpaceDN w:val="0"/>
              <w:spacing w:line="360" w:lineRule="auto"/>
              <w:ind w:firstLine="420" w:firstLineChars="200"/>
              <w:rPr>
                <w:rFonts w:ascii="宋体" w:hAnsi="宋体" w:cs="宋体"/>
                <w:szCs w:val="21"/>
              </w:rPr>
            </w:pPr>
            <w:r>
              <w:rPr>
                <w:rFonts w:hint="eastAsia" w:ascii="宋体" w:hAnsi="宋体" w:cs="宋体"/>
                <w:szCs w:val="21"/>
                <w:lang w:eastAsia="zh-CN"/>
              </w:rPr>
              <w:t>市场部</w:t>
            </w:r>
            <w:r>
              <w:rPr>
                <w:rFonts w:hint="eastAsia" w:ascii="宋体" w:hAnsi="宋体" w:cs="宋体"/>
                <w:szCs w:val="21"/>
              </w:rPr>
              <w:t>对顾客满意度进行了定期评价和分析。</w:t>
            </w:r>
          </w:p>
          <w:p>
            <w:pPr>
              <w:spacing w:line="360" w:lineRule="auto"/>
              <w:ind w:firstLine="420" w:firstLineChars="200"/>
              <w:rPr>
                <w:rFonts w:ascii="宋体" w:hAnsi="宋体" w:cs="宋体"/>
                <w:szCs w:val="21"/>
              </w:rPr>
            </w:pPr>
            <w:r>
              <w:rPr>
                <w:rFonts w:hint="eastAsia" w:ascii="宋体" w:hAnsi="宋体" w:cs="宋体"/>
                <w:szCs w:val="21"/>
              </w:rPr>
              <w:t>公司日常通过对市场信息、目标完成情况及适宜性、营销人员过程工作监督、产品质量检验、顾客满意对测量及反馈等作为分析评价的输入，并根据输出情况及时采取了相应措施并改进，公司针对其他信息，进行了随时利用，但是没有保持相关记录，公司已建立了信息收集的渠道，并实施，但利用深度须加强，已交流。</w:t>
            </w:r>
          </w:p>
          <w:p>
            <w:pPr>
              <w:tabs>
                <w:tab w:val="center" w:pos="3169"/>
              </w:tabs>
              <w:spacing w:line="400" w:lineRule="exact"/>
              <w:jc w:val="left"/>
              <w:rPr>
                <w:rFonts w:ascii="宋体" w:hAnsi="宋体" w:cs="宋体"/>
                <w:szCs w:val="21"/>
                <w:lang w:bidi="ar"/>
              </w:rPr>
            </w:pPr>
            <w:r>
              <w:rPr>
                <w:rFonts w:hint="eastAsia" w:ascii="宋体" w:hAnsi="宋体" w:cs="宋体"/>
                <w:szCs w:val="21"/>
              </w:rPr>
              <w:t>公司已对管理体系的监视、测量、分析和评价进行了策划，基本能够按照要求实施。</w:t>
            </w:r>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1956" w:type="dxa"/>
            <w:vAlign w:val="center"/>
          </w:tcPr>
          <w:p>
            <w:pPr>
              <w:rPr>
                <w:rFonts w:hint="eastAsia" w:cs="Times New Roman" w:asciiTheme="minorEastAsia" w:hAnsiTheme="minorEastAsia" w:eastAsiaTheme="minorEastAsia"/>
                <w:kern w:val="2"/>
                <w:sz w:val="21"/>
                <w:szCs w:val="24"/>
                <w:lang w:val="en-US" w:eastAsia="zh-CN" w:bidi="ar-SA"/>
              </w:rPr>
            </w:pPr>
            <w:r>
              <w:rPr>
                <w:rFonts w:hint="eastAsia"/>
                <w:color w:val="000000" w:themeColor="text1"/>
                <w:szCs w:val="21"/>
              </w:rPr>
              <w:t>内部审核</w:t>
            </w:r>
          </w:p>
        </w:tc>
        <w:tc>
          <w:tcPr>
            <w:tcW w:w="1164" w:type="dxa"/>
            <w:vAlign w:val="center"/>
          </w:tcPr>
          <w:p>
            <w:pPr>
              <w:ind w:firstLine="210" w:firstLineChars="100"/>
              <w:rPr>
                <w:color w:val="000000" w:themeColor="text1"/>
                <w:szCs w:val="21"/>
              </w:rPr>
            </w:pPr>
            <w:r>
              <w:rPr>
                <w:rFonts w:hint="eastAsia"/>
                <w:color w:val="000000" w:themeColor="text1"/>
                <w:szCs w:val="21"/>
              </w:rPr>
              <w:t>9.2</w:t>
            </w:r>
          </w:p>
          <w:p>
            <w:pPr>
              <w:rPr>
                <w:rFonts w:hint="eastAsia" w:cs="Times New Roman" w:asciiTheme="minorEastAsia" w:hAnsiTheme="minorEastAsia" w:eastAsiaTheme="minorEastAsia"/>
                <w:kern w:val="2"/>
                <w:sz w:val="21"/>
                <w:szCs w:val="24"/>
                <w:lang w:val="en-US" w:eastAsia="zh-CN" w:bidi="ar-SA"/>
              </w:rPr>
            </w:pPr>
          </w:p>
        </w:tc>
        <w:tc>
          <w:tcPr>
            <w:tcW w:w="11012"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公司制定《内部审核控制程序》，对内部审核方案策划规定：内审每年进行一次，按部门/过程审核。</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管代介绍内审的安排和做法，与程序文件“内部审核控制程序”相符。</w:t>
            </w:r>
            <w:r>
              <w:rPr>
                <w:rFonts w:hint="eastAsia" w:asciiTheme="minorEastAsia" w:hAnsiTheme="minorEastAsia" w:eastAsiaTheme="minorEastAsia"/>
                <w:szCs w:val="24"/>
              </w:rPr>
              <w:br w:type="textWrapping"/>
            </w:r>
            <w:r>
              <w:rPr>
                <w:rFonts w:hint="eastAsia" w:asciiTheme="minorEastAsia" w:hAnsiTheme="minorEastAsia" w:eastAsiaTheme="minorEastAsia"/>
                <w:szCs w:val="24"/>
              </w:rPr>
              <w:t>查最近一次内审记录：</w:t>
            </w:r>
            <w:r>
              <w:rPr>
                <w:rFonts w:hint="eastAsia" w:ascii="宋体" w:hAnsi="宋体" w:eastAsia="宋体" w:cs="宋体"/>
                <w:color w:val="000000" w:themeColor="text1"/>
                <w:kern w:val="2"/>
                <w:sz w:val="21"/>
                <w:szCs w:val="22"/>
                <w:u w:val="none"/>
                <w:lang w:val="en-US" w:eastAsia="zh-CN" w:bidi="ar-SA"/>
              </w:rPr>
              <w:t>20</w:t>
            </w:r>
            <w:r>
              <w:rPr>
                <w:rFonts w:hint="eastAsia" w:ascii="宋体" w:hAnsi="宋体" w:cs="宋体"/>
                <w:color w:val="000000" w:themeColor="text1"/>
                <w:kern w:val="2"/>
                <w:sz w:val="21"/>
                <w:szCs w:val="22"/>
                <w:u w:val="none"/>
                <w:lang w:val="en-US" w:eastAsia="zh-CN" w:bidi="ar-SA"/>
              </w:rPr>
              <w:t>21</w:t>
            </w:r>
            <w:r>
              <w:rPr>
                <w:rFonts w:hint="eastAsia" w:ascii="宋体" w:hAnsi="宋体" w:eastAsia="宋体" w:cs="宋体"/>
                <w:color w:val="000000" w:themeColor="text1"/>
                <w:kern w:val="2"/>
                <w:sz w:val="21"/>
                <w:szCs w:val="22"/>
                <w:u w:val="none"/>
                <w:lang w:val="en-US" w:eastAsia="zh-CN" w:bidi="ar-SA"/>
              </w:rPr>
              <w:t>.</w:t>
            </w:r>
            <w:r>
              <w:rPr>
                <w:rFonts w:hint="eastAsia" w:ascii="宋体" w:hAnsi="宋体" w:cs="宋体"/>
                <w:color w:val="000000" w:themeColor="text1"/>
                <w:kern w:val="2"/>
                <w:sz w:val="21"/>
                <w:szCs w:val="22"/>
                <w:u w:val="none"/>
                <w:lang w:val="en-US" w:eastAsia="zh-CN" w:bidi="ar-SA"/>
              </w:rPr>
              <w:t>12</w:t>
            </w:r>
            <w:r>
              <w:rPr>
                <w:rFonts w:hint="eastAsia" w:ascii="宋体" w:hAnsi="宋体" w:eastAsia="宋体" w:cs="宋体"/>
                <w:color w:val="000000" w:themeColor="text1"/>
                <w:kern w:val="2"/>
                <w:sz w:val="21"/>
                <w:szCs w:val="22"/>
                <w:u w:val="none"/>
                <w:lang w:val="en-US" w:eastAsia="zh-CN" w:bidi="ar-SA"/>
              </w:rPr>
              <w:t>.</w:t>
            </w:r>
            <w:r>
              <w:rPr>
                <w:rFonts w:hint="eastAsia" w:ascii="宋体" w:hAnsi="宋体" w:cs="宋体"/>
                <w:color w:val="000000" w:themeColor="text1"/>
                <w:kern w:val="2"/>
                <w:sz w:val="21"/>
                <w:szCs w:val="22"/>
                <w:u w:val="none"/>
                <w:lang w:val="en-US" w:eastAsia="zh-CN" w:bidi="ar-SA"/>
              </w:rPr>
              <w:t>10日</w:t>
            </w:r>
            <w:r>
              <w:rPr>
                <w:rFonts w:hint="eastAsia" w:asciiTheme="minorEastAsia" w:hAnsiTheme="minorEastAsia" w:eastAsiaTheme="minorEastAsia"/>
                <w:szCs w:val="24"/>
              </w:rPr>
              <w:t>进行，组长</w:t>
            </w:r>
            <w:r>
              <w:rPr>
                <w:rFonts w:hint="eastAsia" w:asciiTheme="minorEastAsia" w:hAnsiTheme="minorEastAsia" w:eastAsiaTheme="minorEastAsia"/>
                <w:szCs w:val="24"/>
                <w:lang w:eastAsia="zh-CN"/>
              </w:rPr>
              <w:t>：魏西斌</w:t>
            </w:r>
            <w:r>
              <w:rPr>
                <w:rFonts w:hint="eastAsia" w:asciiTheme="minorEastAsia" w:hAnsiTheme="minorEastAsia" w:eastAsiaTheme="minorEastAsia"/>
                <w:szCs w:val="24"/>
              </w:rPr>
              <w:t xml:space="preserve"> 内审员:</w:t>
            </w:r>
            <w:r>
              <w:rPr>
                <w:rFonts w:hint="eastAsia" w:asciiTheme="minorEastAsia" w:hAnsiTheme="minorEastAsia" w:eastAsiaTheme="minorEastAsia"/>
                <w:szCs w:val="24"/>
                <w:lang w:val="en-US" w:eastAsia="zh-CN"/>
              </w:rPr>
              <w:t xml:space="preserve">梁牡丹 </w:t>
            </w:r>
            <w:r>
              <w:rPr>
                <w:rFonts w:hint="eastAsia" w:asciiTheme="minorEastAsia" w:hAnsiTheme="minorEastAsia" w:eastAsiaTheme="minorEastAsia"/>
                <w:szCs w:val="24"/>
              </w:rPr>
              <w:t>，经过培训，并经总经理任命。</w:t>
            </w:r>
            <w:r>
              <w:rPr>
                <w:rFonts w:hint="eastAsia" w:asciiTheme="minorEastAsia" w:hAnsiTheme="minorEastAsia" w:eastAsiaTheme="minorEastAsia"/>
                <w:szCs w:val="24"/>
              </w:rPr>
              <w:br w:type="textWrapping"/>
            </w:r>
            <w:r>
              <w:rPr>
                <w:rFonts w:hint="eastAsia" w:asciiTheme="minorEastAsia" w:hAnsiTheme="minorEastAsia" w:eastAsiaTheme="minorEastAsia"/>
                <w:szCs w:val="24"/>
              </w:rPr>
              <w:t xml:space="preserve">    查内审计划，涉及了所有部门及相关过程。计划编制合理，无漏条款现象。</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抽管理层：</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Q:4.1</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lang w:val="en-US" w:eastAsia="zh-CN"/>
              </w:rPr>
              <w:t>4.2、4.3、</w:t>
            </w:r>
            <w:r>
              <w:rPr>
                <w:rFonts w:hint="eastAsia" w:asciiTheme="minorEastAsia" w:hAnsiTheme="minorEastAsia" w:eastAsiaTheme="minorEastAsia"/>
                <w:szCs w:val="24"/>
              </w:rPr>
              <w:t>4.4</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5.1-5.4</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6.1-6.2</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7.1</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7.4</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9.3</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10.1</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 xml:space="preserve">10.3  </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lang w:val="en-US" w:eastAsia="zh-CN"/>
              </w:rPr>
              <w:t>市场</w:t>
            </w:r>
            <w:r>
              <w:rPr>
                <w:rFonts w:hint="eastAsia" w:asciiTheme="minorEastAsia" w:hAnsiTheme="minorEastAsia" w:eastAsiaTheme="minorEastAsia"/>
                <w:szCs w:val="24"/>
              </w:rPr>
              <w:t>部：</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Q:5.3</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6.2</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7.4</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8.2</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8.4</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7.1.3</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7.1.4</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8.1</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8.5</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 xml:space="preserve">9.1.2 </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9.1.3</w:t>
            </w:r>
          </w:p>
          <w:p>
            <w:pPr>
              <w:spacing w:line="360" w:lineRule="auto"/>
              <w:ind w:firstLine="420" w:firstLineChars="200"/>
              <w:rPr>
                <w:rFonts w:hint="eastAsia" w:asciiTheme="minorEastAsia" w:hAnsiTheme="minorEastAsia" w:eastAsiaTheme="minorEastAsia"/>
                <w:szCs w:val="24"/>
              </w:rPr>
            </w:pPr>
            <w:r>
              <w:rPr>
                <w:rFonts w:hint="eastAsia" w:asciiTheme="minorEastAsia" w:hAnsiTheme="minorEastAsia" w:eastAsiaTheme="minorEastAsia"/>
                <w:szCs w:val="24"/>
              </w:rPr>
              <w:t xml:space="preserve"> 符合计划安排。审核内容基本符合规定。</w:t>
            </w:r>
            <w:r>
              <w:rPr>
                <w:rFonts w:hint="eastAsia" w:asciiTheme="minorEastAsia" w:hAnsiTheme="minorEastAsia" w:eastAsiaTheme="minorEastAsia"/>
                <w:szCs w:val="24"/>
              </w:rPr>
              <w:br w:type="textWrapping"/>
            </w:r>
            <w:r>
              <w:rPr>
                <w:rFonts w:hint="eastAsia" w:asciiTheme="minorEastAsia" w:hAnsiTheme="minorEastAsia" w:eastAsiaTheme="minorEastAsia"/>
                <w:szCs w:val="24"/>
              </w:rPr>
              <w:t>审核活动共提出1个不符合项，</w:t>
            </w:r>
            <w:r>
              <w:rPr>
                <w:rFonts w:hint="eastAsia" w:asciiTheme="minorEastAsia" w:hAnsiTheme="minorEastAsia" w:eastAsiaTheme="minorEastAsia"/>
                <w:szCs w:val="24"/>
                <w:lang w:val="en-US" w:eastAsia="zh-CN"/>
              </w:rPr>
              <w:t>9.1.2</w:t>
            </w:r>
            <w:r>
              <w:rPr>
                <w:rFonts w:hint="eastAsia" w:asciiTheme="minorEastAsia" w:hAnsiTheme="minorEastAsia" w:eastAsiaTheme="minorEastAsia"/>
                <w:szCs w:val="24"/>
              </w:rPr>
              <w:t>条款：</w:t>
            </w:r>
            <w:r>
              <w:rPr>
                <w:rFonts w:hint="eastAsia" w:asciiTheme="minorEastAsia" w:hAnsiTheme="minorEastAsia" w:eastAsiaTheme="minorEastAsia"/>
                <w:szCs w:val="24"/>
                <w:lang w:val="en-US" w:eastAsia="zh-CN"/>
              </w:rPr>
              <w:t>销售部</w:t>
            </w:r>
            <w:r>
              <w:rPr>
                <w:rFonts w:hint="eastAsia" w:asciiTheme="minorEastAsia" w:hAnsiTheme="minorEastAsia" w:eastAsiaTheme="minorEastAsia"/>
                <w:szCs w:val="24"/>
              </w:rPr>
              <w:t>未能提供</w:t>
            </w:r>
            <w:r>
              <w:rPr>
                <w:rFonts w:hint="eastAsia" w:asciiTheme="minorEastAsia" w:hAnsiTheme="minorEastAsia" w:eastAsiaTheme="minorEastAsia"/>
                <w:szCs w:val="24"/>
                <w:lang w:val="en-US" w:eastAsia="zh-CN"/>
              </w:rPr>
              <w:t>顾客满意度分析报告</w:t>
            </w:r>
            <w:r>
              <w:rPr>
                <w:rFonts w:hint="eastAsia" w:asciiTheme="minorEastAsia" w:hAnsiTheme="minorEastAsia" w:eastAsiaTheme="minorEastAsia"/>
                <w:szCs w:val="24"/>
              </w:rPr>
              <w:t>，通过以上现象能够反映出员工对质量管理体系中各条款理解不深，今后需要加强学习和培训，增强对标准条款的学习和理解。本次内审中开列的不符合项均由责任部门人认真采取纠正措施整改并由内审员验证合格。</w:t>
            </w:r>
          </w:p>
          <w:p>
            <w:pPr>
              <w:spacing w:line="360" w:lineRule="auto"/>
              <w:ind w:firstLine="420" w:firstLineChars="200"/>
              <w:rPr>
                <w:rFonts w:hint="eastAsia" w:asciiTheme="minorEastAsia" w:hAnsiTheme="minorEastAsia" w:eastAsiaTheme="minorEastAsia"/>
                <w:szCs w:val="24"/>
              </w:rPr>
            </w:pPr>
            <w:r>
              <w:rPr>
                <w:rFonts w:hint="eastAsia" w:asciiTheme="minorEastAsia" w:hAnsiTheme="minorEastAsia" w:eastAsiaTheme="minorEastAsia"/>
                <w:szCs w:val="24"/>
              </w:rPr>
              <w:t>查内审报告：对体系文件和对体系的运作的符合性和有效性进行了评价，结论为：管理体系基本保持了适宜性、充分性和有效性。目前，体系的有效运行对提高内部管理水平，满足顾客要求，强化满足顾客要求的意识起到了积极的指导作用。</w:t>
            </w:r>
            <w:r>
              <w:rPr>
                <w:rFonts w:hint="eastAsia" w:asciiTheme="minorEastAsia" w:hAnsiTheme="minorEastAsia" w:eastAsiaTheme="minorEastAsia"/>
                <w:szCs w:val="24"/>
              </w:rPr>
              <w:t xml:space="preserve">    </w:t>
            </w:r>
          </w:p>
          <w:p>
            <w:pPr>
              <w:spacing w:line="360" w:lineRule="auto"/>
              <w:ind w:firstLine="420" w:firstLineChars="200"/>
              <w:rPr>
                <w:rFonts w:hint="eastAsia" w:cs="Times New Roman" w:asciiTheme="minorEastAsia" w:hAnsiTheme="minorEastAsia" w:eastAsiaTheme="minorEastAsia"/>
                <w:kern w:val="2"/>
                <w:sz w:val="21"/>
                <w:szCs w:val="24"/>
                <w:lang w:val="en-US" w:eastAsia="zh-CN" w:bidi="ar-SA"/>
              </w:rPr>
            </w:pPr>
            <w:r>
              <w:rPr>
                <w:rFonts w:hint="eastAsia" w:asciiTheme="minorEastAsia" w:hAnsiTheme="minorEastAsia" w:eastAsiaTheme="minorEastAsia"/>
                <w:szCs w:val="24"/>
              </w:rPr>
              <w:t>提供了内审员培训记录，审核员没有审核自己部门工作，具有独立性。</w:t>
            </w:r>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1956" w:type="dxa"/>
            <w:vAlign w:val="center"/>
          </w:tcPr>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不合格和纠正措施</w:t>
            </w:r>
          </w:p>
        </w:tc>
        <w:tc>
          <w:tcPr>
            <w:tcW w:w="1164" w:type="dxa"/>
            <w:vAlign w:val="center"/>
          </w:tcPr>
          <w:p>
            <w:pPr>
              <w:spacing w:line="360" w:lineRule="auto"/>
              <w:jc w:val="both"/>
              <w:rPr>
                <w:rFonts w:ascii="宋体" w:hAnsi="宋体" w:cs="宋体"/>
                <w:szCs w:val="21"/>
              </w:rPr>
            </w:pPr>
          </w:p>
          <w:p>
            <w:pPr>
              <w:spacing w:line="360" w:lineRule="auto"/>
              <w:jc w:val="center"/>
              <w:rPr>
                <w:rFonts w:hAnsi="宋体" w:cs="Arial"/>
                <w:szCs w:val="21"/>
              </w:rPr>
            </w:pPr>
            <w:r>
              <w:rPr>
                <w:rFonts w:hint="eastAsia" w:ascii="宋体" w:hAnsi="宋体" w:cs="宋体"/>
                <w:szCs w:val="21"/>
              </w:rPr>
              <w:t>10.2</w:t>
            </w:r>
          </w:p>
          <w:p>
            <w:pPr>
              <w:spacing w:line="360" w:lineRule="auto"/>
              <w:jc w:val="center"/>
              <w:rPr>
                <w:rFonts w:ascii="宋体" w:hAnsi="宋体" w:cs="Arial"/>
                <w:spacing w:val="-6"/>
                <w:szCs w:val="21"/>
              </w:rPr>
            </w:pPr>
          </w:p>
        </w:tc>
        <w:tc>
          <w:tcPr>
            <w:tcW w:w="11012" w:type="dxa"/>
          </w:tcPr>
          <w:p>
            <w:pPr>
              <w:spacing w:line="360" w:lineRule="auto"/>
              <w:ind w:firstLine="420" w:firstLineChars="200"/>
              <w:rPr>
                <w:rFonts w:hint="eastAsia" w:ascii="宋体" w:hAnsi="宋体" w:cs="宋体"/>
                <w:szCs w:val="21"/>
              </w:rPr>
            </w:pPr>
            <w:r>
              <w:rPr>
                <w:rFonts w:hint="eastAsia" w:ascii="宋体" w:hAnsi="宋体" w:cs="宋体"/>
                <w:szCs w:val="21"/>
              </w:rPr>
              <w:t>保持实施《</w:t>
            </w:r>
            <w:r>
              <w:rPr>
                <w:rFonts w:hint="eastAsia" w:ascii="宋体" w:hAnsi="宋体" w:cs="宋体"/>
                <w:szCs w:val="21"/>
                <w:lang w:val="en-US" w:eastAsia="zh-CN"/>
              </w:rPr>
              <w:t>不合格与</w:t>
            </w:r>
            <w:r>
              <w:rPr>
                <w:rFonts w:hint="eastAsia" w:ascii="宋体" w:hAnsi="宋体"/>
                <w:szCs w:val="21"/>
              </w:rPr>
              <w:t>纠正措施控制程序</w:t>
            </w:r>
            <w:r>
              <w:rPr>
                <w:rFonts w:hint="eastAsia" w:ascii="宋体" w:hAnsi="宋体" w:cs="宋体"/>
                <w:szCs w:val="21"/>
              </w:rPr>
              <w:t>》，对纠正预防措施识别、评审、验证</w:t>
            </w:r>
            <w:r>
              <w:rPr>
                <w:rFonts w:hint="eastAsia" w:ascii="宋体" w:hAnsi="宋体" w:cs="宋体"/>
                <w:szCs w:val="21"/>
                <w:lang w:eastAsia="zh-CN"/>
              </w:rPr>
              <w:t>、</w:t>
            </w:r>
            <w:r>
              <w:rPr>
                <w:rFonts w:hint="eastAsia" w:ascii="宋体" w:hAnsi="宋体" w:cs="宋体"/>
                <w:szCs w:val="21"/>
              </w:rPr>
              <w:t xml:space="preserve">处理等作了规定，其内容符合组织实际及标准要求。 </w:t>
            </w:r>
          </w:p>
          <w:p>
            <w:pPr>
              <w:spacing w:line="360" w:lineRule="auto"/>
              <w:ind w:firstLine="420" w:firstLineChars="200"/>
              <w:rPr>
                <w:rFonts w:ascii="宋体" w:hAnsi="宋体" w:cs="宋体"/>
                <w:szCs w:val="21"/>
              </w:rPr>
            </w:pPr>
            <w:r>
              <w:rPr>
                <w:rFonts w:hint="eastAsia" w:ascii="宋体" w:hAnsi="宋体" w:cs="宋体"/>
                <w:szCs w:val="21"/>
              </w:rPr>
              <w:t>体系运行以来公司按照体系的要求，通过运行控</w:t>
            </w:r>
            <w:bookmarkStart w:id="0" w:name="_GoBack"/>
            <w:bookmarkEnd w:id="0"/>
            <w:r>
              <w:rPr>
                <w:rFonts w:hint="eastAsia" w:ascii="宋体" w:hAnsi="宋体" w:cs="宋体"/>
                <w:szCs w:val="21"/>
              </w:rPr>
              <w:t>制、加强培训，以及开展管理评审活动等方式采取预防措施，防止不符合/不合格的发生，不符合得到了有效控制，人员质量、环保、安全意识有了明显提高，没有发现潜在的不符合，没有发生重大质量事故和投诉处罚。</w:t>
            </w:r>
          </w:p>
          <w:p>
            <w:pPr>
              <w:tabs>
                <w:tab w:val="left" w:pos="6597"/>
              </w:tabs>
              <w:spacing w:line="360" w:lineRule="auto"/>
              <w:ind w:firstLine="420" w:firstLineChars="200"/>
              <w:rPr>
                <w:rFonts w:ascii="宋体" w:hAnsi="宋体" w:cs="宋体"/>
                <w:szCs w:val="21"/>
              </w:rPr>
            </w:pPr>
            <w:r>
              <w:rPr>
                <w:rFonts w:hint="eastAsia" w:ascii="宋体" w:hAnsi="宋体" w:cs="宋体"/>
                <w:szCs w:val="21"/>
              </w:rPr>
              <w:t>企业纠正和预防措施的管理符合标准规定要求。</w:t>
            </w:r>
          </w:p>
        </w:tc>
        <w:tc>
          <w:tcPr>
            <w:tcW w:w="577" w:type="dxa"/>
          </w:tcPr>
          <w:p>
            <w:pPr>
              <w:rPr>
                <w:color w:val="000000" w:themeColor="text1"/>
              </w:rPr>
            </w:pPr>
          </w:p>
        </w:tc>
      </w:tr>
    </w:tbl>
    <w:p/>
    <w:p>
      <w:pPr>
        <w:pStyle w:val="9"/>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8" o:spid="_x0000_s4098"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10"/>
      <w:pBdr>
        <w:bottom w:val="none" w:color="auto" w:sz="0" w:space="0"/>
      </w:pBdr>
      <w:spacing w:line="320" w:lineRule="exact"/>
      <w:ind w:firstLine="756" w:firstLineChars="400"/>
      <w:jc w:val="left"/>
    </w:pPr>
    <w:r>
      <w:rPr>
        <w:rStyle w:val="20"/>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none"/>
      <w:pStyle w:val="21"/>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1A2D7F"/>
    <w:rsid w:val="00216381"/>
    <w:rsid w:val="00234E37"/>
    <w:rsid w:val="00337922"/>
    <w:rsid w:val="00340867"/>
    <w:rsid w:val="00380837"/>
    <w:rsid w:val="003A198A"/>
    <w:rsid w:val="00410914"/>
    <w:rsid w:val="0047492E"/>
    <w:rsid w:val="00536930"/>
    <w:rsid w:val="00564E53"/>
    <w:rsid w:val="005879D0"/>
    <w:rsid w:val="00644FE2"/>
    <w:rsid w:val="0067640C"/>
    <w:rsid w:val="006915E5"/>
    <w:rsid w:val="006E678B"/>
    <w:rsid w:val="00774C81"/>
    <w:rsid w:val="007757F3"/>
    <w:rsid w:val="007E6AEB"/>
    <w:rsid w:val="00882229"/>
    <w:rsid w:val="008973EE"/>
    <w:rsid w:val="00971600"/>
    <w:rsid w:val="009973B4"/>
    <w:rsid w:val="009C28C1"/>
    <w:rsid w:val="009F7EED"/>
    <w:rsid w:val="00AF0AAB"/>
    <w:rsid w:val="00BF597E"/>
    <w:rsid w:val="00C51A36"/>
    <w:rsid w:val="00C55228"/>
    <w:rsid w:val="00C96CCE"/>
    <w:rsid w:val="00CB7E78"/>
    <w:rsid w:val="00CE315A"/>
    <w:rsid w:val="00D06F59"/>
    <w:rsid w:val="00D8388C"/>
    <w:rsid w:val="00EB0164"/>
    <w:rsid w:val="00ED0F62"/>
    <w:rsid w:val="01237055"/>
    <w:rsid w:val="014321E6"/>
    <w:rsid w:val="02602D37"/>
    <w:rsid w:val="02EC0344"/>
    <w:rsid w:val="031C06B3"/>
    <w:rsid w:val="036A70FE"/>
    <w:rsid w:val="03F04342"/>
    <w:rsid w:val="043A2F29"/>
    <w:rsid w:val="055A79E5"/>
    <w:rsid w:val="066948D2"/>
    <w:rsid w:val="06B657DF"/>
    <w:rsid w:val="06D549D6"/>
    <w:rsid w:val="06EA2337"/>
    <w:rsid w:val="06FF764D"/>
    <w:rsid w:val="07074179"/>
    <w:rsid w:val="072106AC"/>
    <w:rsid w:val="07F82E75"/>
    <w:rsid w:val="08037204"/>
    <w:rsid w:val="08713D93"/>
    <w:rsid w:val="088E4159"/>
    <w:rsid w:val="08FC0128"/>
    <w:rsid w:val="090D6A35"/>
    <w:rsid w:val="094249D9"/>
    <w:rsid w:val="0A4E083A"/>
    <w:rsid w:val="0A527FAF"/>
    <w:rsid w:val="0A8A1863"/>
    <w:rsid w:val="0A991BFD"/>
    <w:rsid w:val="0ACC5B2B"/>
    <w:rsid w:val="0B522200"/>
    <w:rsid w:val="0B53515A"/>
    <w:rsid w:val="0C0A0CD1"/>
    <w:rsid w:val="0D457309"/>
    <w:rsid w:val="0D7B30E8"/>
    <w:rsid w:val="0D985F2F"/>
    <w:rsid w:val="0DBE1270"/>
    <w:rsid w:val="0DC26A87"/>
    <w:rsid w:val="0DDF4B40"/>
    <w:rsid w:val="0E4201EE"/>
    <w:rsid w:val="0E9D1693"/>
    <w:rsid w:val="0EB50B3B"/>
    <w:rsid w:val="0F477E75"/>
    <w:rsid w:val="0F635936"/>
    <w:rsid w:val="0FE43FBC"/>
    <w:rsid w:val="0FEF77FA"/>
    <w:rsid w:val="107550D5"/>
    <w:rsid w:val="108219C2"/>
    <w:rsid w:val="10883E8A"/>
    <w:rsid w:val="110B0911"/>
    <w:rsid w:val="11225C23"/>
    <w:rsid w:val="113D55B8"/>
    <w:rsid w:val="11C66B5E"/>
    <w:rsid w:val="11D41D45"/>
    <w:rsid w:val="120E53B5"/>
    <w:rsid w:val="123034E8"/>
    <w:rsid w:val="127575BD"/>
    <w:rsid w:val="12780633"/>
    <w:rsid w:val="130B599F"/>
    <w:rsid w:val="142C5ADC"/>
    <w:rsid w:val="143D632D"/>
    <w:rsid w:val="143D7BB1"/>
    <w:rsid w:val="14890295"/>
    <w:rsid w:val="153717A5"/>
    <w:rsid w:val="156D05A1"/>
    <w:rsid w:val="15774AEE"/>
    <w:rsid w:val="157D5558"/>
    <w:rsid w:val="15B23614"/>
    <w:rsid w:val="15D30DE7"/>
    <w:rsid w:val="16440ED9"/>
    <w:rsid w:val="16543128"/>
    <w:rsid w:val="16F7510A"/>
    <w:rsid w:val="1712415C"/>
    <w:rsid w:val="17924A21"/>
    <w:rsid w:val="17A67230"/>
    <w:rsid w:val="17BE048E"/>
    <w:rsid w:val="18D3715E"/>
    <w:rsid w:val="197C75B5"/>
    <w:rsid w:val="19B94B48"/>
    <w:rsid w:val="19FD4570"/>
    <w:rsid w:val="1A57282B"/>
    <w:rsid w:val="1AA210F7"/>
    <w:rsid w:val="1B0065D0"/>
    <w:rsid w:val="1B087E14"/>
    <w:rsid w:val="1CAD5010"/>
    <w:rsid w:val="1D1242D7"/>
    <w:rsid w:val="1D86717A"/>
    <w:rsid w:val="1E350D4D"/>
    <w:rsid w:val="1E54581A"/>
    <w:rsid w:val="1E6E174C"/>
    <w:rsid w:val="1ED45FD8"/>
    <w:rsid w:val="200E4909"/>
    <w:rsid w:val="202C6533"/>
    <w:rsid w:val="20444302"/>
    <w:rsid w:val="20961A16"/>
    <w:rsid w:val="20CA1D87"/>
    <w:rsid w:val="20F10CE7"/>
    <w:rsid w:val="21122D5D"/>
    <w:rsid w:val="221C084C"/>
    <w:rsid w:val="227257C1"/>
    <w:rsid w:val="22D7582D"/>
    <w:rsid w:val="23235F87"/>
    <w:rsid w:val="23732F32"/>
    <w:rsid w:val="24BD65A1"/>
    <w:rsid w:val="255D6D75"/>
    <w:rsid w:val="25C71E86"/>
    <w:rsid w:val="25D826BB"/>
    <w:rsid w:val="261D2BC4"/>
    <w:rsid w:val="26BB47F8"/>
    <w:rsid w:val="26F45C8F"/>
    <w:rsid w:val="27571BB0"/>
    <w:rsid w:val="275D5156"/>
    <w:rsid w:val="282355F9"/>
    <w:rsid w:val="28C8582D"/>
    <w:rsid w:val="28DF2BCF"/>
    <w:rsid w:val="291202D2"/>
    <w:rsid w:val="299C23FC"/>
    <w:rsid w:val="29AA0642"/>
    <w:rsid w:val="29AF13DF"/>
    <w:rsid w:val="29F80E54"/>
    <w:rsid w:val="2B3D669F"/>
    <w:rsid w:val="2C04664A"/>
    <w:rsid w:val="2C917839"/>
    <w:rsid w:val="2CD45FEF"/>
    <w:rsid w:val="2D297257"/>
    <w:rsid w:val="2D3A39FB"/>
    <w:rsid w:val="2D8E612A"/>
    <w:rsid w:val="2DCF4236"/>
    <w:rsid w:val="2DF31F93"/>
    <w:rsid w:val="2E057899"/>
    <w:rsid w:val="2E620A04"/>
    <w:rsid w:val="2E9176CC"/>
    <w:rsid w:val="2EA7415A"/>
    <w:rsid w:val="2ED7287D"/>
    <w:rsid w:val="2F5D67DC"/>
    <w:rsid w:val="2F7A01DB"/>
    <w:rsid w:val="30FD47FD"/>
    <w:rsid w:val="310367F7"/>
    <w:rsid w:val="310F2B74"/>
    <w:rsid w:val="31BB2B41"/>
    <w:rsid w:val="31CD2D76"/>
    <w:rsid w:val="327711BB"/>
    <w:rsid w:val="32860EED"/>
    <w:rsid w:val="32A818D5"/>
    <w:rsid w:val="330F505D"/>
    <w:rsid w:val="3328502A"/>
    <w:rsid w:val="332B0841"/>
    <w:rsid w:val="33997DE2"/>
    <w:rsid w:val="3494193A"/>
    <w:rsid w:val="34DA7F4E"/>
    <w:rsid w:val="352019F8"/>
    <w:rsid w:val="35AE2D88"/>
    <w:rsid w:val="35C13BFD"/>
    <w:rsid w:val="35C26EE4"/>
    <w:rsid w:val="369C0637"/>
    <w:rsid w:val="38103FE1"/>
    <w:rsid w:val="3814590E"/>
    <w:rsid w:val="387E5472"/>
    <w:rsid w:val="38C248EF"/>
    <w:rsid w:val="393A51D1"/>
    <w:rsid w:val="39A04658"/>
    <w:rsid w:val="3B59769B"/>
    <w:rsid w:val="3B5F54C4"/>
    <w:rsid w:val="3BF3205C"/>
    <w:rsid w:val="3C871C4F"/>
    <w:rsid w:val="3C9A2BF5"/>
    <w:rsid w:val="3D5B555C"/>
    <w:rsid w:val="3D9A6CF0"/>
    <w:rsid w:val="3DB92AC4"/>
    <w:rsid w:val="3DDC3759"/>
    <w:rsid w:val="3EC07009"/>
    <w:rsid w:val="3F1C24D3"/>
    <w:rsid w:val="3F1F20F4"/>
    <w:rsid w:val="3FFD17CC"/>
    <w:rsid w:val="40425DD8"/>
    <w:rsid w:val="40882793"/>
    <w:rsid w:val="40FF3C83"/>
    <w:rsid w:val="416877C4"/>
    <w:rsid w:val="41846EFA"/>
    <w:rsid w:val="41C50928"/>
    <w:rsid w:val="42A83790"/>
    <w:rsid w:val="42D005BA"/>
    <w:rsid w:val="42D62122"/>
    <w:rsid w:val="43543C1C"/>
    <w:rsid w:val="43B04046"/>
    <w:rsid w:val="44483C60"/>
    <w:rsid w:val="45BE3CAA"/>
    <w:rsid w:val="461A5941"/>
    <w:rsid w:val="461C30E9"/>
    <w:rsid w:val="463175C9"/>
    <w:rsid w:val="46A0119E"/>
    <w:rsid w:val="46CB5A97"/>
    <w:rsid w:val="46DB4564"/>
    <w:rsid w:val="479033F0"/>
    <w:rsid w:val="47FF0F4B"/>
    <w:rsid w:val="48160645"/>
    <w:rsid w:val="48210BFD"/>
    <w:rsid w:val="48752520"/>
    <w:rsid w:val="48D92A98"/>
    <w:rsid w:val="493A73ED"/>
    <w:rsid w:val="4A02594A"/>
    <w:rsid w:val="4A174CB7"/>
    <w:rsid w:val="4B511DE2"/>
    <w:rsid w:val="4C017549"/>
    <w:rsid w:val="4CFF3B84"/>
    <w:rsid w:val="4D4E2263"/>
    <w:rsid w:val="4EA8785F"/>
    <w:rsid w:val="4F9420A0"/>
    <w:rsid w:val="4FA333A8"/>
    <w:rsid w:val="4FC219C0"/>
    <w:rsid w:val="50A05722"/>
    <w:rsid w:val="50FA26C7"/>
    <w:rsid w:val="52BF26AB"/>
    <w:rsid w:val="53444639"/>
    <w:rsid w:val="546315FC"/>
    <w:rsid w:val="55204D35"/>
    <w:rsid w:val="552B454E"/>
    <w:rsid w:val="556D7264"/>
    <w:rsid w:val="55C73815"/>
    <w:rsid w:val="56880B28"/>
    <w:rsid w:val="56CD4008"/>
    <w:rsid w:val="56DE0281"/>
    <w:rsid w:val="578E143A"/>
    <w:rsid w:val="58886998"/>
    <w:rsid w:val="58AE4BFC"/>
    <w:rsid w:val="58D04D08"/>
    <w:rsid w:val="58D12569"/>
    <w:rsid w:val="59226013"/>
    <w:rsid w:val="593A21B0"/>
    <w:rsid w:val="594D1804"/>
    <w:rsid w:val="5955745C"/>
    <w:rsid w:val="5A2C536F"/>
    <w:rsid w:val="5A4F418C"/>
    <w:rsid w:val="5A8710A3"/>
    <w:rsid w:val="5AFE756D"/>
    <w:rsid w:val="5B4A53A2"/>
    <w:rsid w:val="5C083D41"/>
    <w:rsid w:val="5C872F74"/>
    <w:rsid w:val="5D036FFF"/>
    <w:rsid w:val="5D3741CB"/>
    <w:rsid w:val="5E243229"/>
    <w:rsid w:val="5E2D3CAF"/>
    <w:rsid w:val="5E7D51D5"/>
    <w:rsid w:val="5E9A53DF"/>
    <w:rsid w:val="5EA12B9A"/>
    <w:rsid w:val="5EAC1CF0"/>
    <w:rsid w:val="5EB9199F"/>
    <w:rsid w:val="5EBF0B8F"/>
    <w:rsid w:val="5F6B5B9C"/>
    <w:rsid w:val="5FC26D77"/>
    <w:rsid w:val="601217D3"/>
    <w:rsid w:val="60C97544"/>
    <w:rsid w:val="615960EE"/>
    <w:rsid w:val="6195128F"/>
    <w:rsid w:val="61B4110F"/>
    <w:rsid w:val="61F25C0D"/>
    <w:rsid w:val="61FE677C"/>
    <w:rsid w:val="628F5DE4"/>
    <w:rsid w:val="63244403"/>
    <w:rsid w:val="63272C6B"/>
    <w:rsid w:val="634C0405"/>
    <w:rsid w:val="634D35C3"/>
    <w:rsid w:val="63577018"/>
    <w:rsid w:val="63A076AF"/>
    <w:rsid w:val="63B15496"/>
    <w:rsid w:val="63BC1E27"/>
    <w:rsid w:val="64450F89"/>
    <w:rsid w:val="64816A20"/>
    <w:rsid w:val="64C23928"/>
    <w:rsid w:val="652C57B3"/>
    <w:rsid w:val="65591207"/>
    <w:rsid w:val="65967FA2"/>
    <w:rsid w:val="65D63B50"/>
    <w:rsid w:val="6626385E"/>
    <w:rsid w:val="67706016"/>
    <w:rsid w:val="689209ED"/>
    <w:rsid w:val="689F5105"/>
    <w:rsid w:val="693B0827"/>
    <w:rsid w:val="69416448"/>
    <w:rsid w:val="69A060E5"/>
    <w:rsid w:val="6A2D6512"/>
    <w:rsid w:val="6ABD5712"/>
    <w:rsid w:val="6AC66944"/>
    <w:rsid w:val="6B5621A9"/>
    <w:rsid w:val="6BD211F2"/>
    <w:rsid w:val="6C1C5AEE"/>
    <w:rsid w:val="6C8464CC"/>
    <w:rsid w:val="6CE7352A"/>
    <w:rsid w:val="6DEF6D71"/>
    <w:rsid w:val="6E5E28AB"/>
    <w:rsid w:val="6E9844C6"/>
    <w:rsid w:val="6ED008C7"/>
    <w:rsid w:val="6F1148BB"/>
    <w:rsid w:val="6F1C0C18"/>
    <w:rsid w:val="6F2F6271"/>
    <w:rsid w:val="6F3944D9"/>
    <w:rsid w:val="6F4E570C"/>
    <w:rsid w:val="6FB02F06"/>
    <w:rsid w:val="6FDF3742"/>
    <w:rsid w:val="70DD4915"/>
    <w:rsid w:val="7140022C"/>
    <w:rsid w:val="71430325"/>
    <w:rsid w:val="720476F4"/>
    <w:rsid w:val="723E7AE4"/>
    <w:rsid w:val="7259038B"/>
    <w:rsid w:val="725D5CB2"/>
    <w:rsid w:val="72716478"/>
    <w:rsid w:val="72724CB0"/>
    <w:rsid w:val="72BE5A93"/>
    <w:rsid w:val="72F5594B"/>
    <w:rsid w:val="73724608"/>
    <w:rsid w:val="744E64E8"/>
    <w:rsid w:val="75147C44"/>
    <w:rsid w:val="753A3ACD"/>
    <w:rsid w:val="755D14B0"/>
    <w:rsid w:val="757229A2"/>
    <w:rsid w:val="75873C45"/>
    <w:rsid w:val="75EA0CC5"/>
    <w:rsid w:val="76520262"/>
    <w:rsid w:val="76B811E6"/>
    <w:rsid w:val="76D0356B"/>
    <w:rsid w:val="771C2CCF"/>
    <w:rsid w:val="7724202B"/>
    <w:rsid w:val="78104A82"/>
    <w:rsid w:val="78113928"/>
    <w:rsid w:val="782B046B"/>
    <w:rsid w:val="789A3093"/>
    <w:rsid w:val="78B623DE"/>
    <w:rsid w:val="79BA1408"/>
    <w:rsid w:val="79EC345A"/>
    <w:rsid w:val="7A037F40"/>
    <w:rsid w:val="7A7C15BD"/>
    <w:rsid w:val="7B1156A0"/>
    <w:rsid w:val="7B1D7775"/>
    <w:rsid w:val="7B5444C2"/>
    <w:rsid w:val="7CC273FE"/>
    <w:rsid w:val="7D3751AD"/>
    <w:rsid w:val="7D726D57"/>
    <w:rsid w:val="7DA350EE"/>
    <w:rsid w:val="7DAD7FDA"/>
    <w:rsid w:val="7DB8777E"/>
    <w:rsid w:val="7ED67998"/>
    <w:rsid w:val="7F021588"/>
    <w:rsid w:val="7F601B7C"/>
    <w:rsid w:val="7F8F18F2"/>
    <w:rsid w:val="7FBD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unhideWhenUsed/>
    <w:qFormat/>
    <w:uiPriority w:val="99"/>
    <w:pPr>
      <w:spacing w:line="420" w:lineRule="exact"/>
    </w:pPr>
    <w:rPr>
      <w:sz w:val="24"/>
    </w:r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rPr>
  </w:style>
  <w:style w:type="paragraph" w:styleId="7">
    <w:name w:val="Date"/>
    <w:basedOn w:val="1"/>
    <w:next w:val="1"/>
    <w:qFormat/>
    <w:uiPriority w:val="0"/>
    <w:pPr>
      <w:widowControl/>
      <w:ind w:left="100" w:leftChars="2500"/>
      <w:jc w:val="left"/>
    </w:pPr>
    <w:rPr>
      <w:kern w:val="0"/>
    </w:rPr>
  </w:style>
  <w:style w:type="paragraph" w:styleId="8">
    <w:name w:val="Balloon Text"/>
    <w:basedOn w:val="1"/>
    <w:link w:val="19"/>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表格文字"/>
    <w:basedOn w:val="1"/>
    <w:qFormat/>
    <w:uiPriority w:val="0"/>
    <w:pPr>
      <w:spacing w:before="25" w:after="25"/>
    </w:pPr>
    <w:rPr>
      <w:bCs/>
      <w:spacing w:val="10"/>
    </w:rPr>
  </w:style>
  <w:style w:type="character" w:customStyle="1" w:styleId="17">
    <w:name w:val="页眉 Char"/>
    <w:basedOn w:val="14"/>
    <w:link w:val="10"/>
    <w:qFormat/>
    <w:uiPriority w:val="99"/>
    <w:rPr>
      <w:rFonts w:ascii="Times New Roman" w:hAnsi="Times New Roman" w:eastAsia="宋体" w:cs="Times New Roman"/>
      <w:sz w:val="18"/>
      <w:szCs w:val="18"/>
    </w:rPr>
  </w:style>
  <w:style w:type="character" w:customStyle="1" w:styleId="18">
    <w:name w:val="页脚 Char"/>
    <w:basedOn w:val="14"/>
    <w:link w:val="9"/>
    <w:qFormat/>
    <w:uiPriority w:val="99"/>
    <w:rPr>
      <w:rFonts w:ascii="Times New Roman" w:hAnsi="Times New Roman" w:eastAsia="宋体" w:cs="Times New Roman"/>
      <w:sz w:val="18"/>
      <w:szCs w:val="18"/>
    </w:rPr>
  </w:style>
  <w:style w:type="character" w:customStyle="1" w:styleId="19">
    <w:name w:val="批注框文本 Char"/>
    <w:basedOn w:val="14"/>
    <w:link w:val="8"/>
    <w:semiHidden/>
    <w:qFormat/>
    <w:uiPriority w:val="99"/>
    <w:rPr>
      <w:rFonts w:ascii="Times New Roman" w:hAnsi="Times New Roman" w:eastAsia="宋体" w:cs="Times New Roman"/>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附录表标题"/>
    <w:next w:val="1"/>
    <w:qFormat/>
    <w:uiPriority w:val="0"/>
    <w:pPr>
      <w:numPr>
        <w:ilvl w:val="0"/>
        <w:numId w:val="1"/>
      </w:numPr>
      <w:jc w:val="center"/>
      <w:textAlignment w:val="baseline"/>
    </w:pPr>
    <w:rPr>
      <w:rFonts w:ascii="黑体" w:hAnsi="Times New Roman" w:eastAsia="黑体" w:cs="Times New Roman"/>
      <w:kern w:val="21"/>
      <w:sz w:val="21"/>
      <w:lang w:val="en-US" w:eastAsia="zh-CN" w:bidi="ar-SA"/>
    </w:rPr>
  </w:style>
  <w:style w:type="paragraph" w:customStyle="1" w:styleId="2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1013</Words>
  <Characters>5780</Characters>
  <Lines>48</Lines>
  <Paragraphs>13</Paragraphs>
  <TotalTime>0</TotalTime>
  <ScaleCrop>false</ScaleCrop>
  <LinksUpToDate>false</LinksUpToDate>
  <CharactersWithSpaces>6780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2022-03-01T02:03:25Z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59DF93F9CA6E4007A92C5766BC7838C2</vt:lpwstr>
  </property>
</Properties>
</file>