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浙江中创节能科技有限公司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0310-2021-QO-2022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2" w:name="审核范围"/>
            <w:r>
              <w:rPr>
                <w:sz w:val="20"/>
              </w:rPr>
              <w:t>Q：装配式排烟风管产品的生产及销售，装配式复合保温板的销售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 w:val="20"/>
              </w:rPr>
              <w:t>O：装配式排烟风管产品的生产及销售，装配式复合保温板的销售所涉及场所的相关职业健康安全管理活动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装配式复合风管板及风管产品</w:t>
            </w:r>
            <w:r>
              <w:rPr>
                <w:sz w:val="20"/>
              </w:rPr>
              <w:t>的生产及销售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装配式复合风管板及风管产品</w:t>
            </w:r>
            <w:r>
              <w:rPr>
                <w:sz w:val="20"/>
              </w:rPr>
              <w:t>的生产及销售所涉及场所的相关职业健康安全管理活动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532130" cy="239395"/>
                  <wp:effectExtent l="0" t="0" r="1270" b="1905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2022.2.21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D47427"/>
    <w:rsid w:val="49A33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3</TotalTime>
  <ScaleCrop>false</ScaleCrop>
  <LinksUpToDate>false</LinksUpToDate>
  <CharactersWithSpaces>473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2022-02-21T07:59:34Z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2052-11.1.0.11294</vt:lpwstr>
  </property>
</Properties>
</file>