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szCs w:val="21"/>
              </w:rPr>
            </w:pPr>
            <w:r>
              <w:rPr>
                <w:rFonts w:hint="eastAsia" w:ascii="宋体" w:hAnsi="宋体"/>
                <w:szCs w:val="21"/>
              </w:rPr>
              <w:t>过程与活动、</w:t>
            </w:r>
          </w:p>
          <w:p>
            <w:pPr>
              <w:jc w:val="center"/>
              <w:rPr>
                <w:rFonts w:ascii="宋体" w:hAnsi="宋体"/>
                <w:szCs w:val="21"/>
              </w:rPr>
            </w:pPr>
            <w:r>
              <w:rPr>
                <w:rFonts w:hint="eastAsia" w:ascii="宋体" w:hAnsi="宋体"/>
                <w:szCs w:val="21"/>
              </w:rPr>
              <w:t>抽样计划</w:t>
            </w:r>
          </w:p>
        </w:tc>
        <w:tc>
          <w:tcPr>
            <w:tcW w:w="960" w:type="dxa"/>
            <w:vMerge w:val="restart"/>
            <w:vAlign w:val="center"/>
          </w:tcPr>
          <w:p>
            <w:pPr>
              <w:rPr>
                <w:rFonts w:ascii="宋体" w:hAnsi="宋体"/>
                <w:szCs w:val="21"/>
              </w:rPr>
            </w:pPr>
            <w:r>
              <w:rPr>
                <w:rFonts w:hint="eastAsia" w:ascii="宋体" w:hAnsi="宋体"/>
                <w:szCs w:val="21"/>
              </w:rPr>
              <w:t>涉及</w:t>
            </w:r>
          </w:p>
          <w:p>
            <w:pPr>
              <w:rPr>
                <w:rFonts w:ascii="宋体" w:hAnsi="宋体"/>
                <w:szCs w:val="21"/>
              </w:rPr>
            </w:pPr>
            <w:r>
              <w:rPr>
                <w:rFonts w:hint="eastAsia" w:ascii="宋体" w:hAnsi="宋体"/>
                <w:szCs w:val="21"/>
              </w:rPr>
              <w:t>条款</w:t>
            </w:r>
          </w:p>
        </w:tc>
        <w:tc>
          <w:tcPr>
            <w:tcW w:w="10004" w:type="dxa"/>
            <w:vAlign w:val="center"/>
          </w:tcPr>
          <w:p>
            <w:pPr>
              <w:rPr>
                <w:rFonts w:ascii="宋体" w:hAnsi="宋体"/>
                <w:szCs w:val="21"/>
              </w:rPr>
            </w:pPr>
            <w:r>
              <w:rPr>
                <w:rFonts w:hint="eastAsia" w:ascii="宋体" w:hAnsi="宋体"/>
                <w:szCs w:val="21"/>
              </w:rPr>
              <w:t>受审核部门：管理层     主管领导/陪同人员：刘永康</w:t>
            </w:r>
          </w:p>
        </w:tc>
        <w:tc>
          <w:tcPr>
            <w:tcW w:w="1585" w:type="dxa"/>
            <w:vMerge w:val="restart"/>
            <w:vAlign w:val="center"/>
          </w:tcPr>
          <w:p>
            <w:pPr>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szCs w:val="21"/>
              </w:rPr>
            </w:pPr>
          </w:p>
        </w:tc>
        <w:tc>
          <w:tcPr>
            <w:tcW w:w="960" w:type="dxa"/>
            <w:vMerge w:val="continue"/>
            <w:vAlign w:val="center"/>
          </w:tcPr>
          <w:p>
            <w:pPr>
              <w:rPr>
                <w:rFonts w:ascii="宋体" w:hAnsi="宋体"/>
                <w:szCs w:val="21"/>
              </w:rPr>
            </w:pPr>
          </w:p>
        </w:tc>
        <w:tc>
          <w:tcPr>
            <w:tcW w:w="10004" w:type="dxa"/>
            <w:vAlign w:val="center"/>
          </w:tcPr>
          <w:p>
            <w:pPr>
              <w:spacing w:before="120"/>
              <w:rPr>
                <w:rFonts w:ascii="宋体" w:hAnsi="宋体"/>
                <w:szCs w:val="21"/>
              </w:rPr>
            </w:pPr>
            <w:r>
              <w:rPr>
                <w:rFonts w:hint="eastAsia" w:ascii="宋体" w:hAnsi="宋体"/>
                <w:szCs w:val="21"/>
              </w:rPr>
              <w:t>审核员：</w:t>
            </w:r>
            <w:r>
              <w:rPr>
                <w:rFonts w:hint="eastAsia" w:ascii="宋体" w:hAnsi="宋体"/>
                <w:szCs w:val="21"/>
                <w:lang w:val="en-US" w:eastAsia="zh-CN"/>
              </w:rPr>
              <w:t xml:space="preserve">张磊         </w:t>
            </w:r>
            <w:r>
              <w:rPr>
                <w:rFonts w:hint="eastAsia" w:ascii="宋体" w:hAnsi="宋体"/>
                <w:szCs w:val="21"/>
              </w:rPr>
              <w:t xml:space="preserve">   审核时间：202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tc>
        <w:tc>
          <w:tcPr>
            <w:tcW w:w="1585"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szCs w:val="21"/>
              </w:rPr>
            </w:pPr>
          </w:p>
        </w:tc>
        <w:tc>
          <w:tcPr>
            <w:tcW w:w="960" w:type="dxa"/>
            <w:vMerge w:val="continue"/>
            <w:vAlign w:val="center"/>
          </w:tcPr>
          <w:p>
            <w:pPr>
              <w:rPr>
                <w:rFonts w:ascii="宋体" w:hAnsi="宋体"/>
                <w:szCs w:val="21"/>
              </w:rPr>
            </w:pPr>
          </w:p>
        </w:tc>
        <w:tc>
          <w:tcPr>
            <w:tcW w:w="10004" w:type="dxa"/>
            <w:vAlign w:val="center"/>
          </w:tcPr>
          <w:p>
            <w:pPr>
              <w:adjustRightInd w:val="0"/>
              <w:snapToGrid w:val="0"/>
              <w:spacing w:line="360" w:lineRule="auto"/>
              <w:rPr>
                <w:rFonts w:ascii="宋体" w:hAnsi="宋体"/>
                <w:szCs w:val="21"/>
              </w:rPr>
            </w:pPr>
            <w:r>
              <w:rPr>
                <w:rFonts w:hint="eastAsia" w:ascii="宋体" w:hAnsi="宋体"/>
                <w:szCs w:val="21"/>
              </w:rPr>
              <w:t>Q：4.1/4.2/4.3/4.4/5.1/5.2/5.3/6.1/6.2/6.3/7.1.1</w:t>
            </w:r>
            <w:r>
              <w:rPr>
                <w:rFonts w:ascii="宋体" w:hAnsi="宋体"/>
                <w:szCs w:val="21"/>
              </w:rPr>
              <w:t>/9.1.1/9.3/10.1/10.3</w:t>
            </w:r>
            <w:r>
              <w:rPr>
                <w:rFonts w:ascii="宋体" w:hAnsi="宋体"/>
                <w:szCs w:val="21"/>
              </w:rPr>
              <w:tab/>
            </w:r>
          </w:p>
          <w:p>
            <w:pPr>
              <w:adjustRightInd w:val="0"/>
              <w:snapToGrid w:val="0"/>
              <w:spacing w:line="360" w:lineRule="auto"/>
              <w:rPr>
                <w:rFonts w:ascii="宋体" w:hAnsi="宋体"/>
                <w:szCs w:val="21"/>
              </w:rPr>
            </w:pPr>
            <w:r>
              <w:rPr>
                <w:rFonts w:ascii="宋体" w:hAnsi="宋体"/>
                <w:szCs w:val="21"/>
              </w:rPr>
              <w:t>E4.1/4.2/4.3/4.4/5.1/5.2/5.3/6.1.1/6.1.3/6.1.4/6.2/7.1/9.1.1/9.3/10.1/10.3</w:t>
            </w:r>
          </w:p>
        </w:tc>
        <w:tc>
          <w:tcPr>
            <w:tcW w:w="1585" w:type="dxa"/>
            <w:vMerge w:val="continue"/>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宋体" w:hAnsi="宋体"/>
                <w:szCs w:val="21"/>
              </w:rPr>
            </w:pPr>
            <w:r>
              <w:rPr>
                <w:rFonts w:hint="eastAsia" w:ascii="宋体" w:hAnsi="宋体"/>
                <w:szCs w:val="21"/>
              </w:rPr>
              <w:t>资质</w:t>
            </w:r>
          </w:p>
        </w:tc>
        <w:tc>
          <w:tcPr>
            <w:tcW w:w="960" w:type="dxa"/>
            <w:vAlign w:val="center"/>
          </w:tcPr>
          <w:p>
            <w:pPr>
              <w:rPr>
                <w:rFonts w:ascii="宋体" w:hAnsi="宋体"/>
                <w:szCs w:val="21"/>
              </w:rPr>
            </w:pPr>
          </w:p>
        </w:tc>
        <w:tc>
          <w:tcPr>
            <w:tcW w:w="10004" w:type="dxa"/>
            <w:vAlign w:val="center"/>
          </w:tcPr>
          <w:p>
            <w:pPr>
              <w:tabs>
                <w:tab w:val="left" w:pos="7380"/>
              </w:tabs>
              <w:rPr>
                <w:rFonts w:ascii="宋体" w:hAnsi="宋体"/>
                <w:szCs w:val="21"/>
              </w:rPr>
            </w:pPr>
            <w:r>
              <w:rPr>
                <w:rFonts w:hint="eastAsia" w:ascii="宋体" w:hAnsi="宋体"/>
                <w:szCs w:val="21"/>
              </w:rPr>
              <w:t xml:space="preserve">总经理：刘社周；管理者代表：丁红梅  </w:t>
            </w:r>
          </w:p>
          <w:p>
            <w:pPr>
              <w:tabs>
                <w:tab w:val="left" w:pos="7380"/>
              </w:tabs>
              <w:rPr>
                <w:rFonts w:ascii="宋体" w:hAnsi="宋体"/>
                <w:szCs w:val="21"/>
              </w:rPr>
            </w:pPr>
            <w:r>
              <w:rPr>
                <w:rFonts w:hint="eastAsia" w:ascii="宋体" w:hAnsi="宋体"/>
                <w:szCs w:val="21"/>
              </w:rPr>
              <w:t>企业成立于2017年6月6日，注册资本：501万元，现有员工15人，金华市康杰警用装备制造有限公司位于：浙江省金华市武义县东干风凰山工业区青云路53号（浙江武义工力电气有限公司第四栋厂房二至三层）</w:t>
            </w:r>
          </w:p>
          <w:p>
            <w:pPr>
              <w:tabs>
                <w:tab w:val="left" w:pos="7380"/>
              </w:tabs>
              <w:rPr>
                <w:rFonts w:ascii="宋体" w:hAnsi="宋体"/>
                <w:szCs w:val="21"/>
              </w:rPr>
            </w:pPr>
            <w:r>
              <w:rPr>
                <w:rFonts w:hint="eastAsia" w:ascii="宋体" w:hAnsi="宋体"/>
                <w:szCs w:val="21"/>
              </w:rPr>
              <w:t>主要产品为</w:t>
            </w:r>
            <w:r>
              <w:rPr>
                <w:rFonts w:hint="eastAsia" w:ascii="宋体" w:hAnsi="宋体"/>
                <w:szCs w:val="21"/>
                <w:lang w:eastAsia="zh-CN"/>
              </w:rPr>
              <w:t>警察专用装备器械</w:t>
            </w:r>
          </w:p>
          <w:p>
            <w:pPr>
              <w:tabs>
                <w:tab w:val="left" w:pos="7380"/>
              </w:tabs>
              <w:rPr>
                <w:rFonts w:ascii="宋体" w:hAnsi="宋体"/>
                <w:szCs w:val="21"/>
              </w:rPr>
            </w:pPr>
            <w:r>
              <w:rPr>
                <w:rFonts w:hint="eastAsia" w:ascii="宋体" w:hAnsi="宋体"/>
                <w:szCs w:val="21"/>
              </w:rPr>
              <w:t>办公地址为租赁，有租赁合同，符合要求。办公面积共3000平米左右，其中700平米为库房。配备相应的办公、通讯、生产、质检等设施，现有基础设施配备基本充分。</w:t>
            </w:r>
          </w:p>
          <w:p>
            <w:pPr>
              <w:tabs>
                <w:tab w:val="left" w:pos="7380"/>
              </w:tabs>
              <w:rPr>
                <w:rFonts w:hint="eastAsia" w:ascii="宋体" w:hAnsi="宋体" w:eastAsia="宋体"/>
                <w:szCs w:val="21"/>
                <w:lang w:eastAsia="zh-CN"/>
              </w:rPr>
            </w:pPr>
            <w:r>
              <w:rPr>
                <w:rFonts w:hint="eastAsia" w:ascii="宋体" w:hAnsi="宋体"/>
                <w:szCs w:val="21"/>
              </w:rPr>
              <w:t>提供2020年9月25日建设项目环境影响登记表，备案号：202033072300000183，符合要求</w:t>
            </w:r>
            <w:r>
              <w:rPr>
                <w:rFonts w:hint="eastAsia" w:ascii="宋体" w:hAnsi="宋体"/>
                <w:szCs w:val="21"/>
                <w:lang w:eastAsia="zh-CN"/>
              </w:rPr>
              <w:t>。</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组织及其环境</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QE4.1</w:t>
            </w:r>
          </w:p>
          <w:p>
            <w:pPr>
              <w:tabs>
                <w:tab w:val="left" w:pos="7380"/>
              </w:tabs>
              <w:rPr>
                <w:rFonts w:ascii="宋体" w:hAnsi="宋体"/>
                <w:b/>
                <w:szCs w:val="21"/>
              </w:rPr>
            </w:pPr>
          </w:p>
        </w:tc>
        <w:tc>
          <w:tcPr>
            <w:tcW w:w="10004" w:type="dxa"/>
          </w:tcPr>
          <w:p>
            <w:pPr>
              <w:pStyle w:val="14"/>
              <w:rPr>
                <w:rFonts w:hAnsi="宋体"/>
                <w:sz w:val="21"/>
                <w:szCs w:val="21"/>
              </w:rPr>
            </w:pPr>
            <w:r>
              <w:rPr>
                <w:rFonts w:hint="eastAsia" w:hAnsi="宋体"/>
                <w:sz w:val="21"/>
                <w:szCs w:val="21"/>
              </w:rPr>
              <w:t>企业依据审核范围内产品销售和服务活动、过程特点，以及行业特点和战略发展规划，确定了组织结构，及建立、实现质量/环境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识别的内外部环境：</w:t>
            </w:r>
          </w:p>
          <w:p>
            <w:pPr>
              <w:pStyle w:val="14"/>
              <w:rPr>
                <w:rFonts w:hAnsi="宋体"/>
                <w:sz w:val="21"/>
                <w:szCs w:val="21"/>
              </w:rPr>
            </w:pPr>
            <w:r>
              <w:rPr>
                <w:rFonts w:hint="eastAsia" w:hAnsi="宋体"/>
                <w:sz w:val="21"/>
                <w:szCs w:val="21"/>
              </w:rPr>
              <w:t>企业所属行业比较特殊，主要对接公安部所属部门，生产执行标准均按公安部要求。企业2018年6月26日进入公安部警用装备采购供方名录，2020年12月29日顺延为公安部警用装备采购供方。企业主要生产产品为手铐、水壶</w:t>
            </w:r>
            <w:r>
              <w:rPr>
                <w:rFonts w:hint="eastAsia" w:hAnsi="宋体"/>
                <w:sz w:val="21"/>
                <w:szCs w:val="21"/>
                <w:lang w:eastAsia="zh-CN"/>
              </w:rPr>
              <w:t>、穿刺式阻车路障、防暴盾牌、组合式警棍</w:t>
            </w:r>
            <w:r>
              <w:rPr>
                <w:rFonts w:hint="eastAsia" w:hAnsi="宋体"/>
                <w:sz w:val="21"/>
                <w:szCs w:val="21"/>
              </w:rPr>
              <w:t>等。企业参加了行业生产企业联盟，对市场及产品互通有无，可以组合进行销售。此行业产品及产品执行标准比较稳定，企业没有太多产品设计的空间，基本在公安部要求的基础上做少量智能化改良，且改良后需公安部认可。目前总体经济环境下行，为刺激经济，公安部预算每年增加，对企业经营发展有一定益处。企业人员基本固定，主要为云贵川外来务工人员，管理相对简单。</w:t>
            </w:r>
          </w:p>
          <w:p>
            <w:pPr>
              <w:pStyle w:val="14"/>
              <w:rPr>
                <w:rFonts w:hAnsi="宋体"/>
                <w:sz w:val="21"/>
                <w:szCs w:val="21"/>
              </w:rPr>
            </w:pPr>
            <w:r>
              <w:rPr>
                <w:rFonts w:hint="eastAsia" w:hAnsi="宋体"/>
                <w:sz w:val="21"/>
                <w:szCs w:val="21"/>
              </w:rPr>
              <w:t xml:space="preserve">总结：公司现在处在一个动态的，较复杂的、变化的环境中，内部的结构与机制与外部环境不能非常完美的结合，导致公司的大量优质资源无法发挥作用，所以，需要对组织结构与主要工作流程做一些变革，对不同的职能、流程采取不同的管理方法以及与气候、空气质量、水质量、土地使用、现存污染、自然资源的可获得性、生物多样性等相关的、可能影响组织目的或受组织环境因素影响的环境状况等。    </w:t>
            </w:r>
          </w:p>
          <w:p>
            <w:pPr>
              <w:tabs>
                <w:tab w:val="left" w:pos="7380"/>
              </w:tabs>
              <w:rPr>
                <w:rFonts w:ascii="宋体" w:hAnsi="宋体"/>
                <w:szCs w:val="21"/>
              </w:rPr>
            </w:pPr>
            <w:r>
              <w:rPr>
                <w:rFonts w:hint="eastAsia" w:ascii="宋体" w:hAnsi="宋体"/>
                <w:szCs w:val="21"/>
              </w:rPr>
              <w:t>企业有建立激励机制，将员工的工作积极性及相关方的认可度调动和激发出来，不断地组织员工进行新知识、新技能培训与学习，充分挖掘内在潜力，充分发挥其创新能力，加强与相关方的沟通协调工作，提高企业员工的整体综合素质及相关方满意度。企业有采取适当的方法和措施对影响内外部因素的相关信息进行监视和测量，以确保组织能够持续适用内外部环境的变化。</w:t>
            </w:r>
          </w:p>
          <w:p>
            <w:pPr>
              <w:tabs>
                <w:tab w:val="left" w:pos="7380"/>
              </w:tabs>
              <w:rPr>
                <w:rFonts w:ascii="宋体" w:hAnsi="宋体"/>
                <w:szCs w:val="21"/>
                <w:lang w:val="en-GB"/>
              </w:rPr>
            </w:pPr>
            <w:r>
              <w:rPr>
                <w:rFonts w:hint="eastAsia" w:ascii="宋体" w:hAnsi="宋体"/>
                <w:szCs w:val="21"/>
                <w:lang w:val="en-GB"/>
              </w:rPr>
              <w:t>内外部环境分析基本符合公司情况</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相关方的需求和期望</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QE4.2</w:t>
            </w:r>
          </w:p>
          <w:p>
            <w:pPr>
              <w:tabs>
                <w:tab w:val="left" w:pos="7380"/>
              </w:tabs>
              <w:rPr>
                <w:rFonts w:ascii="宋体" w:hAnsi="宋体"/>
                <w:b/>
                <w:szCs w:val="21"/>
              </w:rPr>
            </w:pPr>
          </w:p>
        </w:tc>
        <w:tc>
          <w:tcPr>
            <w:tcW w:w="10004" w:type="dxa"/>
          </w:tcPr>
          <w:p>
            <w:pPr>
              <w:rPr>
                <w:rFonts w:ascii="宋体" w:hAnsi="宋体"/>
                <w:color w:val="000000"/>
                <w:szCs w:val="21"/>
              </w:rPr>
            </w:pPr>
            <w:r>
              <w:rPr>
                <w:rFonts w:hint="eastAsia" w:ascii="宋体" w:hAnsi="宋体"/>
                <w:szCs w:val="21"/>
              </w:rPr>
              <w:t>公司识别并确定了影响公司提供产品和服务能力的利益相关方：</w:t>
            </w:r>
            <w:r>
              <w:rPr>
                <w:rFonts w:hint="eastAsia" w:ascii="宋体" w:hAnsi="宋体"/>
                <w:color w:val="000000"/>
                <w:szCs w:val="21"/>
              </w:rPr>
              <w:t>顾客（1、产品质量符合顾客要求                        2、及时交货3、价格合理）、员工（薪资、福利增加2、提供培训机会  3、有一定的娱乐活动）、供方（1、长期合作、双赢2、进货合格率高3、及时付款）、合作伙伴、市场监督管理局、环保局、安监局等。</w:t>
            </w:r>
          </w:p>
          <w:p>
            <w:pPr>
              <w:rPr>
                <w:rFonts w:ascii="宋体" w:hAnsi="宋体"/>
                <w:szCs w:val="21"/>
              </w:rPr>
            </w:pPr>
            <w:r>
              <w:rPr>
                <w:rFonts w:hint="eastAsia" w:ascii="宋体" w:hAnsi="宋体"/>
                <w:szCs w:val="21"/>
              </w:rPr>
              <w:t xml:space="preserve">通过调查、访谈等了解相关方的需求和期望。 </w:t>
            </w:r>
          </w:p>
          <w:p>
            <w:pPr>
              <w:rPr>
                <w:rFonts w:ascii="宋体" w:hAnsi="宋体"/>
                <w:szCs w:val="21"/>
              </w:rPr>
            </w:pPr>
            <w:r>
              <w:rPr>
                <w:rFonts w:hint="eastAsia" w:ascii="宋体" w:hAnsi="宋体"/>
                <w:szCs w:val="21"/>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管理体系的范围</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QE4.3</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公司按照标准要求编写了体系文件，管理体系文件包括管理手册、程序文件、作业文件和记录表格等内容，管理手册中包括了管理方针和管理目标，并给出了各级文件的接口。</w:t>
            </w:r>
          </w:p>
          <w:p>
            <w:pPr>
              <w:tabs>
                <w:tab w:val="left" w:pos="7380"/>
              </w:tabs>
              <w:rPr>
                <w:rFonts w:ascii="宋体" w:hAnsi="宋体" w:cs="宋体"/>
                <w:color w:val="000000"/>
                <w:kern w:val="0"/>
                <w:szCs w:val="21"/>
              </w:rPr>
            </w:pPr>
            <w:r>
              <w:rPr>
                <w:rFonts w:hint="eastAsia" w:ascii="宋体" w:hAnsi="宋体"/>
                <w:szCs w:val="21"/>
              </w:rPr>
              <w:t>管理手册中明确了</w:t>
            </w:r>
            <w:r>
              <w:rPr>
                <w:rFonts w:hint="eastAsia" w:ascii="宋体" w:hAnsi="宋体" w:cs="宋体"/>
                <w:color w:val="000000"/>
                <w:kern w:val="0"/>
                <w:szCs w:val="21"/>
              </w:rPr>
              <w:t>体系的范围。公司明确了质量环境管理体系的边界、范围，在确定质量环境管理体系的范围时考虑了公司的内外部因素和相关方的需求和期望，考虑了公司的产品和服务，与公司的宗旨和战略方向一致。符合标准要求。</w:t>
            </w:r>
          </w:p>
          <w:p>
            <w:pPr>
              <w:rPr>
                <w:rFonts w:ascii="宋体" w:hAnsi="宋体" w:cs="宋体"/>
                <w:color w:val="000000"/>
                <w:kern w:val="0"/>
                <w:szCs w:val="21"/>
              </w:rPr>
            </w:pPr>
            <w:r>
              <w:rPr>
                <w:rFonts w:hint="eastAsia" w:ascii="宋体" w:hAnsi="宋体" w:cs="宋体"/>
                <w:color w:val="000000"/>
                <w:kern w:val="0"/>
                <w:szCs w:val="21"/>
              </w:rPr>
              <w:t>过程或活动：</w:t>
            </w:r>
          </w:p>
          <w:p>
            <w:pPr>
              <w:rPr>
                <w:sz w:val="20"/>
              </w:rPr>
            </w:pPr>
            <w:r>
              <w:rPr>
                <w:sz w:val="20"/>
              </w:rPr>
              <w:t>Q：警察专用装备器械</w:t>
            </w:r>
            <w:r>
              <w:rPr>
                <w:rFonts w:hint="eastAsia"/>
                <w:sz w:val="20"/>
              </w:rPr>
              <w:t>（</w:t>
            </w:r>
            <w:r>
              <w:rPr>
                <w:rFonts w:hint="eastAsia" w:ascii="宋体" w:hAnsi="宋体" w:cs="宋体"/>
              </w:rPr>
              <w:t>收弹器，验枪桶，穿刺式阻车路障，防暴盾牌，组合式警棍，连体手铐脚链，多功能镣铐，背负式催泪喷射器，警戒牌，防暴钢叉，单警装备、警用水壶）</w:t>
            </w:r>
            <w:r>
              <w:rPr>
                <w:sz w:val="20"/>
              </w:rPr>
              <w:t>的组装生产、销售</w:t>
            </w:r>
          </w:p>
          <w:p>
            <w:pPr>
              <w:tabs>
                <w:tab w:val="left" w:pos="7380"/>
              </w:tabs>
              <w:rPr>
                <w:sz w:val="20"/>
              </w:rPr>
            </w:pPr>
            <w:r>
              <w:rPr>
                <w:sz w:val="20"/>
              </w:rPr>
              <w:t>E：警察专用装备器械</w:t>
            </w:r>
            <w:r>
              <w:rPr>
                <w:rFonts w:hint="eastAsia"/>
                <w:sz w:val="20"/>
              </w:rPr>
              <w:t>（</w:t>
            </w:r>
            <w:r>
              <w:rPr>
                <w:rFonts w:hint="eastAsia" w:ascii="宋体" w:hAnsi="宋体" w:cs="宋体"/>
              </w:rPr>
              <w:t>收弹器，验枪桶，穿刺式阻车路障，防暴盾牌，组合式警棍，连体手铐脚链，多功能镣铐，背负式催泪喷射器，警戒牌，防暴钢叉，单警装备、警用水壶）</w:t>
            </w:r>
            <w:r>
              <w:rPr>
                <w:sz w:val="20"/>
              </w:rPr>
              <w:t>的组装生产、销售所涉及</w:t>
            </w:r>
            <w:r>
              <w:rPr>
                <w:rFonts w:hint="eastAsia"/>
                <w:sz w:val="20"/>
                <w:lang w:val="en-US" w:eastAsia="zh-CN"/>
              </w:rPr>
              <w:t>场所</w:t>
            </w:r>
            <w:r>
              <w:rPr>
                <w:sz w:val="20"/>
              </w:rPr>
              <w:t>的相关环境管理活动</w:t>
            </w:r>
          </w:p>
          <w:p>
            <w:pPr>
              <w:tabs>
                <w:tab w:val="left" w:pos="7380"/>
              </w:tabs>
              <w:rPr>
                <w:rFonts w:hint="eastAsia" w:ascii="宋体" w:hAnsi="宋体" w:eastAsia="宋体"/>
                <w:szCs w:val="21"/>
                <w:lang w:eastAsia="zh-CN"/>
              </w:rPr>
            </w:pPr>
            <w:r>
              <w:rPr>
                <w:rFonts w:hint="eastAsia" w:ascii="宋体" w:hAnsi="宋体" w:cs="宋体"/>
                <w:color w:val="000000"/>
                <w:kern w:val="0"/>
                <w:szCs w:val="21"/>
              </w:rPr>
              <w:t>涉及场所：</w:t>
            </w:r>
            <w:r>
              <w:rPr>
                <w:rFonts w:hint="eastAsia"/>
              </w:rPr>
              <w:t>浙江省金华市武义县东干风凰山工业区青云路53号（浙江武义工力电气有限公司第四栋厂房二至三层）金华市康杰警用装备制造有限公司</w:t>
            </w:r>
            <w:r>
              <w:rPr>
                <w:rFonts w:hint="eastAsia"/>
                <w:lang w:eastAsia="zh-CN"/>
              </w:rPr>
              <w:t>警察专用装备器械（收弹器</w:t>
            </w:r>
          </w:p>
          <w:p>
            <w:pPr>
              <w:tabs>
                <w:tab w:val="left" w:pos="7380"/>
              </w:tabs>
              <w:rPr>
                <w:rFonts w:ascii="宋体" w:hAnsi="宋体"/>
                <w:szCs w:val="21"/>
                <w:lang w:val="en-GB"/>
              </w:rPr>
            </w:pPr>
            <w:r>
              <w:rPr>
                <w:rFonts w:hint="eastAsia" w:ascii="宋体" w:hAnsi="宋体"/>
                <w:szCs w:val="21"/>
              </w:rPr>
              <w:t>外包：表面处理</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管理体系及其过程</w:t>
            </w:r>
          </w:p>
          <w:p>
            <w:pPr>
              <w:rPr>
                <w:rFonts w:ascii="宋体" w:hAnsi="宋体"/>
                <w:szCs w:val="21"/>
              </w:rPr>
            </w:pPr>
          </w:p>
        </w:tc>
        <w:tc>
          <w:tcPr>
            <w:tcW w:w="960" w:type="dxa"/>
          </w:tcPr>
          <w:p>
            <w:pPr>
              <w:tabs>
                <w:tab w:val="left" w:pos="7380"/>
              </w:tabs>
              <w:ind w:firstLine="2" w:firstLineChars="1"/>
              <w:rPr>
                <w:rFonts w:ascii="宋体" w:hAnsi="宋体"/>
                <w:color w:val="000000"/>
                <w:szCs w:val="21"/>
              </w:rPr>
            </w:pPr>
            <w:r>
              <w:rPr>
                <w:rFonts w:hint="eastAsia" w:ascii="宋体" w:hAnsi="宋体"/>
                <w:color w:val="000000"/>
                <w:szCs w:val="21"/>
              </w:rPr>
              <w:t>QE4.4</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cs="宋体"/>
                <w:kern w:val="0"/>
                <w:szCs w:val="21"/>
              </w:rPr>
              <w:t>依据GB/T1</w:t>
            </w:r>
            <w:r>
              <w:rPr>
                <w:rFonts w:hint="eastAsia" w:ascii="宋体" w:hAnsi="宋体"/>
                <w:szCs w:val="21"/>
              </w:rPr>
              <w:t>9001-2016、GB/T24001-2016标准</w:t>
            </w:r>
            <w:r>
              <w:rPr>
                <w:rFonts w:hint="eastAsia" w:ascii="宋体" w:hAnsi="宋体" w:cs="宋体"/>
                <w:kern w:val="0"/>
                <w:szCs w:val="21"/>
              </w:rPr>
              <w:t>要求，并结合企业产品特点对管理体系进行了策划，策划基本体现了PDCA的思路。</w:t>
            </w:r>
          </w:p>
          <w:p>
            <w:pPr>
              <w:tabs>
                <w:tab w:val="left" w:pos="7380"/>
              </w:tabs>
              <w:rPr>
                <w:rFonts w:ascii="宋体" w:hAnsi="宋体"/>
                <w:szCs w:val="21"/>
              </w:rPr>
            </w:pPr>
            <w:r>
              <w:rPr>
                <w:rFonts w:hint="eastAsia" w:ascii="宋体" w:hAnsi="宋体"/>
                <w:szCs w:val="21"/>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tabs>
                <w:tab w:val="left" w:pos="7380"/>
              </w:tabs>
              <w:rPr>
                <w:rFonts w:ascii="宋体" w:hAnsi="宋体"/>
                <w:szCs w:val="21"/>
              </w:rPr>
            </w:pPr>
            <w:r>
              <w:rPr>
                <w:rFonts w:hint="eastAsia" w:ascii="宋体" w:hAnsi="宋体"/>
                <w:szCs w:val="21"/>
              </w:rPr>
              <w:t>公司外包过程：表面处理</w:t>
            </w:r>
          </w:p>
          <w:p>
            <w:pPr>
              <w:tabs>
                <w:tab w:val="left" w:pos="7380"/>
              </w:tabs>
              <w:rPr>
                <w:rFonts w:ascii="宋体" w:hAnsi="宋体"/>
                <w:szCs w:val="21"/>
              </w:rPr>
            </w:pPr>
            <w:r>
              <w:rPr>
                <w:rFonts w:hint="eastAsia" w:ascii="宋体" w:hAnsi="宋体"/>
                <w:szCs w:val="21"/>
              </w:rPr>
              <w:t>不适用条款：8.3条款。</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cs="宋体"/>
                <w:kern w:val="0"/>
                <w:szCs w:val="21"/>
              </w:rPr>
              <w:t>领导作用和承诺\</w:t>
            </w:r>
            <w:r>
              <w:rPr>
                <w:rFonts w:hint="eastAsia" w:ascii="宋体" w:hAnsi="宋体"/>
                <w:szCs w:val="21"/>
              </w:rPr>
              <w:t>以顾客为关注焦点</w:t>
            </w:r>
          </w:p>
          <w:p>
            <w:pPr>
              <w:rPr>
                <w:rFonts w:ascii="宋体" w:hAnsi="宋体"/>
                <w:szCs w:val="21"/>
              </w:rPr>
            </w:pPr>
          </w:p>
        </w:tc>
        <w:tc>
          <w:tcPr>
            <w:tcW w:w="960" w:type="dxa"/>
          </w:tcPr>
          <w:p>
            <w:pPr>
              <w:tabs>
                <w:tab w:val="left" w:pos="7380"/>
              </w:tabs>
              <w:rPr>
                <w:rFonts w:ascii="宋体" w:hAnsi="宋体"/>
                <w:b/>
                <w:szCs w:val="21"/>
              </w:rPr>
            </w:pPr>
            <w:r>
              <w:rPr>
                <w:rFonts w:hint="eastAsia" w:ascii="宋体" w:hAnsi="宋体"/>
                <w:szCs w:val="21"/>
              </w:rPr>
              <w:t>QE5.1</w:t>
            </w:r>
          </w:p>
        </w:tc>
        <w:tc>
          <w:tcPr>
            <w:tcW w:w="10004" w:type="dxa"/>
          </w:tcPr>
          <w:p>
            <w:pPr>
              <w:spacing w:line="276" w:lineRule="auto"/>
              <w:rPr>
                <w:rFonts w:ascii="宋体" w:hAnsi="宋体"/>
                <w:szCs w:val="21"/>
              </w:rPr>
            </w:pPr>
            <w:r>
              <w:rPr>
                <w:rFonts w:hint="eastAsia" w:ascii="宋体" w:hAnsi="宋体" w:cs="宋体"/>
                <w:kern w:val="0"/>
                <w:szCs w:val="21"/>
              </w:rPr>
              <w:t>企业</w:t>
            </w:r>
            <w:r>
              <w:rPr>
                <w:rFonts w:hint="eastAsia" w:ascii="宋体" w:hAnsi="宋体"/>
                <w:szCs w:val="21"/>
              </w:rPr>
              <w:t>最高管理者对管理体系的领导作用和承诺主要通过以下方面体现：</w:t>
            </w:r>
          </w:p>
          <w:p>
            <w:pPr>
              <w:tabs>
                <w:tab w:val="left" w:pos="7380"/>
              </w:tabs>
              <w:rPr>
                <w:rFonts w:ascii="宋体" w:hAnsi="宋体"/>
                <w:szCs w:val="21"/>
              </w:rPr>
            </w:pPr>
            <w:r>
              <w:rPr>
                <w:rFonts w:hint="eastAsia" w:ascii="宋体" w:hAnsi="宋体"/>
                <w:szCs w:val="21"/>
              </w:rPr>
              <w:t>对管理体系运行的有效性负责；促进使用过程方法和基于风险的思维确保管理体系要求融入企业的业务过程；确保建立的管理体系与组织内外部环境、战略方向保持一致</w:t>
            </w:r>
            <w:r>
              <w:rPr>
                <w:rFonts w:hint="eastAsia" w:ascii="宋体" w:hAnsi="宋体"/>
                <w:szCs w:val="21"/>
                <w:lang w:val="en-GB"/>
              </w:rPr>
              <w:t>的</w:t>
            </w:r>
            <w:r>
              <w:rPr>
                <w:rFonts w:hint="eastAsia" w:ascii="宋体" w:hAnsi="宋体"/>
                <w:szCs w:val="21"/>
              </w:rPr>
              <w:t>管理方针、管理目标的制定，应与组织环境相适应，与战略方向一致；为确保管理体系所需的资源（包括人力、设备、技术和信息等）确保管理体系实现期望的结果；督促人员积极参与、指导和支持员工为管理体系的有效性做出贡献；鼓励工作人员报告事件、危险源、风险和机遇，并保护其免</w:t>
            </w:r>
            <w:r>
              <w:rPr>
                <w:rFonts w:ascii="宋体" w:hAnsi="宋体"/>
                <w:szCs w:val="21"/>
              </w:rPr>
              <w:t>遭</w:t>
            </w:r>
            <w:r>
              <w:rPr>
                <w:rFonts w:hint="eastAsia" w:ascii="宋体" w:hAnsi="宋体"/>
                <w:szCs w:val="21"/>
              </w:rPr>
              <w:t>报复；支持相关管理者在其职责范围内发挥领导作用，推动改进等。</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以顾客为关注焦点：公司通过投标、市场调研等方式了解顾客的需求，确定他们关心的产品特性，特别是产品的关键特性。通过定期对顾客满意度进行测量、售后服务了解顾客对产品的意见。</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在确定顾客的需求和期望时，公司同时考虑与产品有关的义务（如安全的责任、环境保护要求等）和法律法规要求，并采取措施，使其得到落实。</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方针</w:t>
            </w:r>
          </w:p>
          <w:p>
            <w:pPr>
              <w:rPr>
                <w:rFonts w:ascii="宋体" w:hAnsi="宋体"/>
                <w:szCs w:val="21"/>
              </w:rPr>
            </w:pPr>
          </w:p>
        </w:tc>
        <w:tc>
          <w:tcPr>
            <w:tcW w:w="960" w:type="dxa"/>
          </w:tcPr>
          <w:p>
            <w:pPr>
              <w:rPr>
                <w:rFonts w:ascii="宋体" w:hAnsi="宋体"/>
                <w:szCs w:val="21"/>
              </w:rPr>
            </w:pPr>
            <w:r>
              <w:rPr>
                <w:rFonts w:hint="eastAsia" w:ascii="宋体" w:hAnsi="宋体"/>
                <w:szCs w:val="21"/>
              </w:rPr>
              <w:t>QE5.2</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cs="Tahoma"/>
                <w:szCs w:val="21"/>
              </w:rPr>
              <w:t>方针：守法诚信追求精品，预防污染保护环境；关爱员工健康安全，持续改进追求卓越。</w:t>
            </w:r>
          </w:p>
          <w:p>
            <w:pPr>
              <w:tabs>
                <w:tab w:val="left" w:pos="7380"/>
              </w:tabs>
              <w:rPr>
                <w:rFonts w:ascii="宋体" w:hAnsi="宋体" w:cs="Tahoma"/>
                <w:szCs w:val="21"/>
              </w:rPr>
            </w:pPr>
            <w:r>
              <w:rPr>
                <w:rFonts w:hint="eastAsia" w:ascii="宋体" w:hAnsi="宋体"/>
                <w:szCs w:val="21"/>
              </w:rPr>
              <w:t>方针在管理手册中予以规定，经总经理批准实施。</w:t>
            </w:r>
          </w:p>
          <w:p>
            <w:pPr>
              <w:tabs>
                <w:tab w:val="left" w:pos="7380"/>
              </w:tabs>
              <w:rPr>
                <w:rFonts w:ascii="宋体" w:hAnsi="宋体"/>
                <w:szCs w:val="21"/>
              </w:rPr>
            </w:pPr>
            <w:r>
              <w:rPr>
                <w:rFonts w:hint="eastAsia" w:ascii="宋体" w:hAnsi="宋体"/>
                <w:szCs w:val="21"/>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b/>
                <w:szCs w:val="21"/>
              </w:rPr>
            </w:pPr>
            <w:r>
              <w:rPr>
                <w:rFonts w:hint="eastAsia" w:ascii="宋体" w:hAnsi="宋体"/>
                <w:szCs w:val="21"/>
              </w:rPr>
              <w:t>组织的角色、职责的权限</w:t>
            </w:r>
          </w:p>
        </w:tc>
        <w:tc>
          <w:tcPr>
            <w:tcW w:w="960" w:type="dxa"/>
          </w:tcPr>
          <w:p>
            <w:pPr>
              <w:tabs>
                <w:tab w:val="left" w:pos="7380"/>
              </w:tabs>
              <w:rPr>
                <w:rFonts w:ascii="宋体" w:hAnsi="宋体"/>
                <w:szCs w:val="21"/>
              </w:rPr>
            </w:pPr>
            <w:r>
              <w:rPr>
                <w:rFonts w:hint="eastAsia" w:ascii="宋体" w:hAnsi="宋体"/>
                <w:szCs w:val="21"/>
              </w:rPr>
              <w:t>QE5.3</w:t>
            </w:r>
          </w:p>
          <w:p>
            <w:pPr>
              <w:tabs>
                <w:tab w:val="left" w:pos="7380"/>
              </w:tabs>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公司编制了岗位职责和任职要求，经总经理批准后通过培训和发受控文件的形式使职责得到沟通。</w:t>
            </w:r>
          </w:p>
          <w:p>
            <w:pPr>
              <w:tabs>
                <w:tab w:val="left" w:pos="7380"/>
              </w:tabs>
              <w:rPr>
                <w:rFonts w:ascii="宋体" w:hAnsi="宋体"/>
                <w:b/>
                <w:szCs w:val="21"/>
              </w:rPr>
            </w:pPr>
            <w:r>
              <w:rPr>
                <w:rFonts w:hint="eastAsia" w:ascii="宋体" w:hAnsi="宋体"/>
                <w:szCs w:val="21"/>
              </w:rPr>
              <w:t>各部门的职责情况详见各部门5.3审核记录</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策划</w:t>
            </w:r>
          </w:p>
          <w:p>
            <w:pPr>
              <w:rPr>
                <w:rFonts w:ascii="宋体" w:hAnsi="宋体"/>
                <w:szCs w:val="21"/>
              </w:rPr>
            </w:pPr>
            <w:r>
              <w:rPr>
                <w:rFonts w:hint="eastAsia" w:ascii="宋体" w:hAnsi="宋体"/>
                <w:szCs w:val="21"/>
              </w:rPr>
              <w:t>应对风险和机遇的措施</w:t>
            </w:r>
          </w:p>
          <w:p>
            <w:pPr>
              <w:rPr>
                <w:rFonts w:ascii="宋体" w:hAnsi="宋体"/>
                <w:szCs w:val="21"/>
              </w:rPr>
            </w:pPr>
          </w:p>
        </w:tc>
        <w:tc>
          <w:tcPr>
            <w:tcW w:w="960" w:type="dxa"/>
          </w:tcPr>
          <w:p>
            <w:pPr>
              <w:autoSpaceDE w:val="0"/>
              <w:autoSpaceDN w:val="0"/>
              <w:adjustRightInd w:val="0"/>
              <w:snapToGrid w:val="0"/>
              <w:spacing w:line="260" w:lineRule="exact"/>
              <w:jc w:val="left"/>
              <w:rPr>
                <w:rFonts w:ascii="宋体" w:hAnsi="宋体"/>
                <w:color w:val="000000"/>
                <w:kern w:val="0"/>
                <w:szCs w:val="21"/>
              </w:rPr>
            </w:pPr>
            <w:r>
              <w:rPr>
                <w:rFonts w:hint="eastAsia" w:ascii="宋体" w:hAnsi="宋体"/>
                <w:szCs w:val="21"/>
              </w:rPr>
              <w:t>Q</w:t>
            </w:r>
            <w:r>
              <w:rPr>
                <w:rFonts w:hint="eastAsia" w:ascii="宋体" w:hAnsi="宋体"/>
                <w:color w:val="000000"/>
                <w:kern w:val="0"/>
                <w:szCs w:val="21"/>
              </w:rPr>
              <w:t>6.1</w:t>
            </w:r>
          </w:p>
          <w:p>
            <w:pPr>
              <w:autoSpaceDE w:val="0"/>
              <w:autoSpaceDN w:val="0"/>
              <w:adjustRightInd w:val="0"/>
              <w:snapToGrid w:val="0"/>
              <w:spacing w:line="260" w:lineRule="exact"/>
              <w:jc w:val="left"/>
              <w:rPr>
                <w:rFonts w:ascii="宋体" w:hAnsi="宋体"/>
                <w:color w:val="000000"/>
                <w:kern w:val="0"/>
                <w:szCs w:val="21"/>
              </w:rPr>
            </w:pPr>
            <w:r>
              <w:rPr>
                <w:rFonts w:hint="eastAsia" w:ascii="宋体" w:hAnsi="宋体"/>
                <w:color w:val="000000"/>
                <w:kern w:val="0"/>
                <w:szCs w:val="21"/>
              </w:rPr>
              <w:t>E6.1.1</w:t>
            </w:r>
          </w:p>
          <w:p>
            <w:pPr>
              <w:autoSpaceDE w:val="0"/>
              <w:autoSpaceDN w:val="0"/>
              <w:adjustRightInd w:val="0"/>
              <w:snapToGrid w:val="0"/>
              <w:spacing w:line="260" w:lineRule="exact"/>
              <w:jc w:val="left"/>
              <w:rPr>
                <w:rFonts w:ascii="宋体" w:hAnsi="宋体"/>
                <w:color w:val="000000"/>
                <w:kern w:val="0"/>
                <w:szCs w:val="21"/>
              </w:rPr>
            </w:pPr>
          </w:p>
          <w:p>
            <w:pPr>
              <w:rPr>
                <w:rFonts w:ascii="宋体" w:hAnsi="宋体"/>
                <w:b/>
                <w:szCs w:val="21"/>
              </w:rPr>
            </w:pPr>
          </w:p>
        </w:tc>
        <w:tc>
          <w:tcPr>
            <w:tcW w:w="10004" w:type="dxa"/>
          </w:tcPr>
          <w:p>
            <w:pPr>
              <w:tabs>
                <w:tab w:val="left" w:pos="7380"/>
              </w:tabs>
              <w:rPr>
                <w:rFonts w:ascii="宋体" w:hAnsi="宋体"/>
                <w:szCs w:val="21"/>
              </w:rPr>
            </w:pPr>
            <w:r>
              <w:rPr>
                <w:rFonts w:hint="eastAsia" w:ascii="宋体" w:hAnsi="宋体"/>
                <w:szCs w:val="21"/>
              </w:rPr>
              <w:t>企业有对风险和机遇的措施进行了识别和控制：</w:t>
            </w:r>
          </w:p>
          <w:p>
            <w:pPr>
              <w:tabs>
                <w:tab w:val="left" w:pos="7380"/>
              </w:tabs>
              <w:rPr>
                <w:rFonts w:ascii="宋体" w:hAnsi="宋体"/>
                <w:szCs w:val="21"/>
              </w:rPr>
            </w:pPr>
            <w:r>
              <w:rPr>
                <w:rFonts w:hint="eastAsia" w:ascii="宋体" w:hAnsi="宋体"/>
                <w:szCs w:val="21"/>
              </w:rPr>
              <w:t>1、企业在经营管理过程中即存在机遇，同时也存在着风险。有建立识别风险与机遇的过程和方法，并识别了产品整个生命周期所有影响产品符合性、影响增强顾客满意的能力和环境影响有关的的风险源，并对这些潜在的风险进行识别、评价，并采取必要的措施，以尽可能将风险转化为机遇。</w:t>
            </w:r>
          </w:p>
          <w:p>
            <w:pPr>
              <w:tabs>
                <w:tab w:val="left" w:pos="7380"/>
              </w:tabs>
              <w:rPr>
                <w:rFonts w:ascii="宋体" w:hAnsi="宋体"/>
                <w:szCs w:val="21"/>
              </w:rPr>
            </w:pPr>
            <w:r>
              <w:rPr>
                <w:rFonts w:hint="eastAsia" w:ascii="宋体" w:hAnsi="宋体"/>
                <w:szCs w:val="21"/>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规义务风险：适用的法律法规收不全、不及时、不了解导致违规行为的发生等。企业在确定这些风险和机遇时，有考虑内外部因素及合同方（供方、顾客)的要求。抽查针对废弃物(硒鼓/墨盒/色带/日光灯等) 控制不当造成的风险的应对措施：严格按固废控制要求做好固废分类管理，做好固废处置情况登记工作，归口部门加强日常监督检查等；组织开展内部技术交流，培训更多骨干。相关人员讨论，联系参观、交流活动等。</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环境因素识别</w:t>
            </w:r>
          </w:p>
        </w:tc>
        <w:tc>
          <w:tcPr>
            <w:tcW w:w="960" w:type="dxa"/>
          </w:tcPr>
          <w:p>
            <w:pPr>
              <w:tabs>
                <w:tab w:val="left" w:pos="7380"/>
              </w:tabs>
              <w:jc w:val="center"/>
              <w:rPr>
                <w:rFonts w:ascii="宋体" w:hAnsi="宋体"/>
                <w:szCs w:val="21"/>
              </w:rPr>
            </w:pPr>
            <w:r>
              <w:rPr>
                <w:rFonts w:hint="eastAsia" w:ascii="宋体" w:hAnsi="宋体"/>
                <w:szCs w:val="21"/>
              </w:rPr>
              <w:t>E:6.1.2</w:t>
            </w:r>
          </w:p>
          <w:p>
            <w:pPr>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 xml:space="preserve">提供了部门《环境因素识别及评价控制程序》和《重要环境因素清单》 </w:t>
            </w:r>
          </w:p>
          <w:p>
            <w:pPr>
              <w:tabs>
                <w:tab w:val="left" w:pos="7380"/>
              </w:tabs>
              <w:rPr>
                <w:rFonts w:ascii="宋体" w:hAnsi="宋体"/>
                <w:szCs w:val="21"/>
              </w:rPr>
            </w:pPr>
            <w:r>
              <w:rPr>
                <w:rFonts w:hint="eastAsia" w:ascii="宋体" w:hAnsi="宋体"/>
                <w:szCs w:val="21"/>
              </w:rPr>
              <w:t xml:space="preserve">识别环境因素使用了生命周期的观点，时考虑了三种时态、三种状态、五个方面，运用了评分法评价了环境因素并确定了重要环境因素。 </w:t>
            </w:r>
          </w:p>
          <w:p>
            <w:pPr>
              <w:tabs>
                <w:tab w:val="left" w:pos="7380"/>
              </w:tabs>
              <w:rPr>
                <w:rFonts w:ascii="宋体" w:hAnsi="宋体"/>
                <w:szCs w:val="21"/>
              </w:rPr>
            </w:pPr>
            <w:r>
              <w:rPr>
                <w:rFonts w:hint="eastAsia" w:ascii="宋体" w:hAnsi="宋体"/>
                <w:szCs w:val="21"/>
              </w:rPr>
              <w:t>重要环境因素：固体废弃物排放，火灾、噪声排放、能源消耗</w:t>
            </w:r>
          </w:p>
          <w:p>
            <w:pPr>
              <w:rPr>
                <w:rFonts w:ascii="宋体" w:hAnsi="宋体"/>
                <w:szCs w:val="21"/>
              </w:rPr>
            </w:pPr>
            <w:r>
              <w:rPr>
                <w:rFonts w:hint="eastAsia" w:ascii="宋体" w:hAnsi="宋体"/>
                <w:szCs w:val="21"/>
              </w:rPr>
              <w:t>识别全面，评价准确。</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如何确定环境</w:t>
            </w:r>
          </w:p>
        </w:tc>
        <w:tc>
          <w:tcPr>
            <w:tcW w:w="960" w:type="dxa"/>
          </w:tcPr>
          <w:p>
            <w:pPr>
              <w:tabs>
                <w:tab w:val="left" w:pos="7380"/>
              </w:tabs>
              <w:rPr>
                <w:rFonts w:ascii="宋体" w:hAnsi="宋体"/>
                <w:szCs w:val="21"/>
              </w:rPr>
            </w:pPr>
            <w:r>
              <w:rPr>
                <w:rFonts w:hint="eastAsia" w:ascii="宋体" w:hAnsi="宋体"/>
                <w:szCs w:val="21"/>
              </w:rPr>
              <w:t>E6.1.3</w:t>
            </w:r>
          </w:p>
          <w:p>
            <w:pPr>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公司建立并保持《法律法规管理及合规性评价程序》，以获取并评价相关环境法律法规和其他要求，确认其适用性并跟踪其变化，以便及时更新。</w:t>
            </w:r>
          </w:p>
          <w:p>
            <w:pPr>
              <w:tabs>
                <w:tab w:val="left" w:pos="7380"/>
              </w:tabs>
              <w:rPr>
                <w:rFonts w:ascii="宋体" w:hAnsi="宋体"/>
                <w:b/>
                <w:szCs w:val="21"/>
              </w:rPr>
            </w:pPr>
          </w:p>
          <w:p>
            <w:pPr>
              <w:tabs>
                <w:tab w:val="left" w:pos="7380"/>
              </w:tabs>
              <w:rPr>
                <w:rFonts w:ascii="宋体" w:hAnsi="宋体"/>
                <w:szCs w:val="21"/>
              </w:rPr>
            </w:pPr>
            <w:r>
              <w:rPr>
                <w:rFonts w:hint="eastAsia" w:ascii="宋体" w:hAnsi="宋体"/>
                <w:szCs w:val="21"/>
              </w:rPr>
              <w:t>组织确定的适用的法律法规包括《环境保护法》《中华人民共和国环境噪声污染防治法》《中华人民共和国固体废物污染环境防治法》《合同法》《消费者权益保护法》GA 68-2019警用防刺服；GA 810-2008 自由伸缩式枪纲；GA 887-2010公安单警装备  警用水壶GB/T2423.17-2008《电子电工产品环境试验 第2部分：试验方法  试验Ka：盐雾》Q/KJ102-2020 《金属手铐》等，法律法规已通过邮件的形式发放到相关部门，已得到有效执行，未出现违规情况。</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szCs w:val="21"/>
              </w:rPr>
            </w:pPr>
            <w:r>
              <w:rPr>
                <w:rFonts w:hint="eastAsia" w:ascii="宋体" w:hAnsi="宋体"/>
                <w:szCs w:val="21"/>
              </w:rPr>
              <w:t>环境管理措施的策划</w:t>
            </w:r>
          </w:p>
        </w:tc>
        <w:tc>
          <w:tcPr>
            <w:tcW w:w="960" w:type="dxa"/>
          </w:tcPr>
          <w:p>
            <w:pPr>
              <w:tabs>
                <w:tab w:val="left" w:pos="7380"/>
              </w:tabs>
              <w:rPr>
                <w:rFonts w:ascii="宋体" w:hAnsi="宋体"/>
                <w:szCs w:val="21"/>
              </w:rPr>
            </w:pPr>
            <w:r>
              <w:rPr>
                <w:rFonts w:hint="eastAsia" w:ascii="宋体" w:hAnsi="宋体"/>
                <w:szCs w:val="21"/>
              </w:rPr>
              <w:t>6.1.4</w:t>
            </w:r>
          </w:p>
          <w:p>
            <w:pPr>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策划的内容有主要有重要环境因素、合规义务、识别的风险和机遇等，当策划这些措施时，最高管理者考虑了可选技术方案、财务、运行和经营要求，从而确保质量环境管理体系的有效运行。</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目标及其实现的策划</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Q6.2</w:t>
            </w:r>
          </w:p>
          <w:p>
            <w:pPr>
              <w:tabs>
                <w:tab w:val="left" w:pos="7380"/>
              </w:tabs>
              <w:rPr>
                <w:rFonts w:ascii="宋体" w:hAnsi="宋体"/>
                <w:szCs w:val="21"/>
              </w:rPr>
            </w:pPr>
            <w:r>
              <w:rPr>
                <w:rFonts w:hint="eastAsia" w:ascii="宋体" w:hAnsi="宋体"/>
                <w:szCs w:val="21"/>
              </w:rPr>
              <w:t>E6.2</w:t>
            </w:r>
          </w:p>
          <w:p>
            <w:pPr>
              <w:rPr>
                <w:rFonts w:ascii="宋体" w:hAnsi="宋体"/>
                <w:szCs w:val="21"/>
              </w:rPr>
            </w:pPr>
          </w:p>
        </w:tc>
        <w:tc>
          <w:tcPr>
            <w:tcW w:w="10004" w:type="dxa"/>
          </w:tcPr>
          <w:p>
            <w:pPr>
              <w:rPr>
                <w:rFonts w:ascii="宋体" w:hAnsi="宋体"/>
                <w:szCs w:val="21"/>
              </w:rPr>
            </w:pPr>
            <w:r>
              <w:rPr>
                <w:rFonts w:hint="eastAsia" w:ascii="宋体" w:hAnsi="宋体"/>
                <w:szCs w:val="21"/>
              </w:rPr>
              <w:t>管理手册中明确了质量、环境管理目标为：</w:t>
            </w:r>
          </w:p>
          <w:p>
            <w:pPr>
              <w:rPr>
                <w:rFonts w:ascii="宋体" w:hAnsi="宋体"/>
                <w:szCs w:val="21"/>
              </w:rPr>
            </w:pPr>
            <w:r>
              <w:rPr>
                <w:rFonts w:hint="eastAsia" w:ascii="宋体" w:hAnsi="宋体"/>
                <w:szCs w:val="21"/>
              </w:rPr>
              <w:t>1) 生产产品一次检验合格率</w:t>
            </w:r>
            <w:r>
              <w:rPr>
                <w:rFonts w:hint="eastAsia" w:ascii="宋体" w:hAnsi="宋体"/>
                <w:szCs w:val="21"/>
                <w:lang w:val="en-US" w:eastAsia="zh-CN"/>
              </w:rPr>
              <w:t>100</w:t>
            </w:r>
            <w:r>
              <w:rPr>
                <w:rFonts w:hint="eastAsia" w:ascii="宋体" w:hAnsi="宋体"/>
                <w:szCs w:val="21"/>
              </w:rPr>
              <w:t>%（计算方法：产品出厂合格数/产品出厂总数*100%，每年考核一次）</w:t>
            </w:r>
          </w:p>
          <w:p>
            <w:pPr>
              <w:rPr>
                <w:rFonts w:ascii="宋体" w:hAnsi="宋体"/>
                <w:szCs w:val="21"/>
              </w:rPr>
            </w:pPr>
            <w:r>
              <w:rPr>
                <w:rFonts w:hint="eastAsia" w:ascii="宋体" w:hAnsi="宋体"/>
                <w:szCs w:val="21"/>
              </w:rPr>
              <w:t>2) 顾客满意率达95%以上（计算方法：顾客满意度总分÷调查顾客数x100%，每年考核一次）</w:t>
            </w:r>
          </w:p>
          <w:p>
            <w:pPr>
              <w:rPr>
                <w:rFonts w:ascii="宋体" w:hAnsi="宋体"/>
                <w:szCs w:val="21"/>
              </w:rPr>
            </w:pPr>
            <w:r>
              <w:rPr>
                <w:rFonts w:hint="eastAsia" w:ascii="宋体" w:hAnsi="宋体"/>
                <w:szCs w:val="21"/>
              </w:rPr>
              <w:t>3) 固体废弃物分类收集处理率100%（固体废弃物合规处理数/固体废弃物总数X100%，每月考核一次）</w:t>
            </w:r>
          </w:p>
          <w:p>
            <w:pPr>
              <w:rPr>
                <w:rFonts w:ascii="宋体" w:hAnsi="宋体"/>
                <w:szCs w:val="21"/>
              </w:rPr>
            </w:pPr>
            <w:r>
              <w:rPr>
                <w:rFonts w:hint="eastAsia" w:ascii="宋体" w:hAnsi="宋体"/>
                <w:szCs w:val="21"/>
              </w:rPr>
              <w:t>4）环境污染事故发生率为零（按实际发生记录）</w:t>
            </w:r>
          </w:p>
          <w:p>
            <w:pPr>
              <w:rPr>
                <w:rFonts w:ascii="宋体" w:hAnsi="宋体"/>
                <w:szCs w:val="21"/>
              </w:rPr>
            </w:pPr>
            <w:r>
              <w:rPr>
                <w:rFonts w:hint="eastAsia" w:ascii="宋体" w:hAnsi="宋体"/>
                <w:szCs w:val="21"/>
              </w:rPr>
              <w:t>2020年</w:t>
            </w:r>
            <w:r>
              <w:rPr>
                <w:rFonts w:hint="eastAsia" w:ascii="宋体" w:hAnsi="宋体"/>
                <w:szCs w:val="21"/>
                <w:lang w:val="en-US" w:eastAsia="zh-CN"/>
              </w:rPr>
              <w:t>10</w:t>
            </w:r>
            <w:r>
              <w:rPr>
                <w:rFonts w:hint="eastAsia" w:ascii="宋体" w:hAnsi="宋体"/>
                <w:szCs w:val="21"/>
              </w:rPr>
              <w:t>月至2021年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季度</w:t>
            </w:r>
            <w:r>
              <w:rPr>
                <w:rFonts w:hint="eastAsia" w:ascii="宋体" w:hAnsi="宋体"/>
                <w:szCs w:val="21"/>
              </w:rPr>
              <w:t>目标完成情况：均完成。公司的管理目标已分解到相关职能部门。</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变更的策划</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Q6.3</w:t>
            </w:r>
          </w:p>
        </w:tc>
        <w:tc>
          <w:tcPr>
            <w:tcW w:w="10004" w:type="dxa"/>
          </w:tcPr>
          <w:p>
            <w:pPr>
              <w:tabs>
                <w:tab w:val="left" w:pos="7380"/>
              </w:tabs>
              <w:rPr>
                <w:rFonts w:ascii="宋体" w:hAnsi="宋体"/>
                <w:szCs w:val="21"/>
              </w:rPr>
            </w:pPr>
            <w:r>
              <w:rPr>
                <w:rFonts w:hint="eastAsia" w:ascii="宋体" w:hAnsi="宋体"/>
                <w:szCs w:val="21"/>
              </w:rPr>
              <w:t>管理手册中对管理体系的变更需求及时机、内容、影响方面进行了策划，变更的时机包括了：管理体系的建立和实施的初始阶段；组织机构、环境发生变化；利益相关方的需求和期望方面的任何变化等。</w:t>
            </w:r>
          </w:p>
          <w:p>
            <w:pPr>
              <w:tabs>
                <w:tab w:val="left" w:pos="7380"/>
              </w:tabs>
              <w:rPr>
                <w:rFonts w:ascii="宋体" w:hAnsi="宋体"/>
                <w:szCs w:val="21"/>
              </w:rPr>
            </w:pPr>
            <w:r>
              <w:rPr>
                <w:rFonts w:hint="eastAsia" w:ascii="宋体" w:hAnsi="宋体"/>
                <w:szCs w:val="21"/>
              </w:rPr>
              <w:t>受审核方明确了变更评估及实施的流程，即当发生变更时，确定变更的目的、考虑变更的潜在后果，管理体系的完整性，识别变更的风险和机遇，确定资源的可获得性并制定应对措施，责任和权限的分配或再分配。并要求对变更前、变更中、变更后的全过程实施监控，并组织对变更的有效性进行评价，确保管理体系的完整性。</w:t>
            </w:r>
          </w:p>
          <w:p>
            <w:pPr>
              <w:tabs>
                <w:tab w:val="left" w:pos="7380"/>
              </w:tabs>
              <w:rPr>
                <w:rFonts w:ascii="宋体" w:hAnsi="宋体"/>
                <w:szCs w:val="21"/>
              </w:rPr>
            </w:pPr>
            <w:r>
              <w:rPr>
                <w:rFonts w:hint="eastAsia" w:ascii="宋体" w:hAnsi="宋体"/>
                <w:szCs w:val="21"/>
              </w:rPr>
              <w:t>自体系运行以来，未发生变更情况。</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资源总则</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Q7.1.1</w:t>
            </w:r>
          </w:p>
          <w:p>
            <w:pPr>
              <w:tabs>
                <w:tab w:val="left" w:pos="7380"/>
              </w:tabs>
              <w:rPr>
                <w:rFonts w:ascii="宋体" w:hAnsi="宋体"/>
                <w:szCs w:val="21"/>
              </w:rPr>
            </w:pPr>
            <w:r>
              <w:rPr>
                <w:rFonts w:hint="eastAsia" w:ascii="宋体" w:hAnsi="宋体"/>
                <w:szCs w:val="21"/>
              </w:rPr>
              <w:t>E7.1</w:t>
            </w:r>
          </w:p>
          <w:p>
            <w:pPr>
              <w:tabs>
                <w:tab w:val="left" w:pos="7380"/>
              </w:tabs>
              <w:rPr>
                <w:rFonts w:ascii="宋体" w:hAnsi="宋体"/>
                <w:szCs w:val="21"/>
              </w:rPr>
            </w:pPr>
          </w:p>
        </w:tc>
        <w:tc>
          <w:tcPr>
            <w:tcW w:w="10004" w:type="dxa"/>
          </w:tcPr>
          <w:p>
            <w:pPr>
              <w:pStyle w:val="16"/>
              <w:numPr>
                <w:ilvl w:val="0"/>
                <w:numId w:val="1"/>
              </w:numPr>
              <w:tabs>
                <w:tab w:val="left" w:pos="7380"/>
              </w:tabs>
              <w:ind w:firstLineChars="0"/>
              <w:rPr>
                <w:rFonts w:ascii="宋体" w:hAnsi="宋体"/>
              </w:rPr>
            </w:pPr>
            <w:r>
              <w:rPr>
                <w:rFonts w:hint="eastAsia" w:ascii="宋体" w:hAnsi="宋体"/>
              </w:rPr>
              <w:t>体系运行有关的人员15人，公司设置了综合部、生产部等职能部门，各部门职责、权限分工明确，包括管理、生产、技术、质检和财务人员等；公司经营面积3000平米，配备了冲床、旋铆机、激光打标机、打包机、台钻及手工工具；电脑、打印机、网络、办公桌椅等设施；盐雾测试机、洛氏硬度计、拉力机、游标卡尺、数显扭力扳手等检测设备；以及综合部配置有灭火器、消防栓等安全辅助设备/设施，以及资金、技资源；2、外部资源，如供方、客户等相关方。</w:t>
            </w:r>
          </w:p>
          <w:p>
            <w:pPr>
              <w:pStyle w:val="16"/>
              <w:numPr>
                <w:ilvl w:val="0"/>
                <w:numId w:val="1"/>
              </w:numPr>
              <w:tabs>
                <w:tab w:val="left" w:pos="7380"/>
              </w:tabs>
              <w:ind w:firstLineChars="0"/>
              <w:rPr>
                <w:rFonts w:ascii="宋体" w:hAnsi="宋体"/>
              </w:rPr>
            </w:pPr>
            <w:r>
              <w:rPr>
                <w:rFonts w:hint="eastAsia" w:ascii="宋体" w:hAnsi="宋体"/>
              </w:rPr>
              <w:t>公司所提供的内外部资源基本能满足管理体系运行的需要.</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沟通</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QE7.4</w:t>
            </w:r>
          </w:p>
          <w:p>
            <w:pPr>
              <w:tabs>
                <w:tab w:val="left" w:pos="7380"/>
              </w:tabs>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在沟通中，总经理发挥主动主导作用，以确保在不同的层次和职能之间进行有效、充分的沟通</w:t>
            </w:r>
          </w:p>
          <w:p>
            <w:pPr>
              <w:tabs>
                <w:tab w:val="left" w:pos="7380"/>
              </w:tabs>
              <w:rPr>
                <w:rFonts w:ascii="宋体" w:hAnsi="宋体"/>
                <w:szCs w:val="21"/>
              </w:rPr>
            </w:pPr>
            <w:r>
              <w:rPr>
                <w:rFonts w:hint="eastAsia" w:ascii="宋体" w:hAnsi="宋体"/>
                <w:szCs w:val="21"/>
              </w:rPr>
              <w:t>沟通的方式主要有：会议、邮件、微信群、接收上级主管部门下发文件等</w:t>
            </w:r>
          </w:p>
          <w:p>
            <w:pPr>
              <w:tabs>
                <w:tab w:val="left" w:pos="7380"/>
              </w:tabs>
              <w:rPr>
                <w:rFonts w:ascii="宋体" w:hAnsi="宋体"/>
                <w:szCs w:val="21"/>
              </w:rPr>
            </w:pPr>
            <w:r>
              <w:rPr>
                <w:rFonts w:hint="eastAsia" w:ascii="宋体" w:hAnsi="宋体"/>
                <w:szCs w:val="21"/>
              </w:rPr>
              <w:t>公司内部沟通的内容主要有：a)通过各种例会传达、通报质量管理情况（如工作例会、经营会议等)；b)内部文件的学习和传递；c)公司微信群</w:t>
            </w:r>
            <w:r>
              <w:rPr>
                <w:rFonts w:hint="eastAsia" w:ascii="宋体" w:hAnsi="宋体"/>
                <w:szCs w:val="21"/>
                <w:lang w:val="en-GB"/>
              </w:rPr>
              <w:t>分享管理经验、讨论技术问题</w:t>
            </w:r>
            <w:r>
              <w:rPr>
                <w:rFonts w:hint="eastAsia" w:ascii="宋体" w:hAnsi="宋体"/>
                <w:szCs w:val="21"/>
              </w:rPr>
              <w:t>等方式。</w:t>
            </w:r>
          </w:p>
          <w:p>
            <w:pPr>
              <w:rPr>
                <w:rFonts w:ascii="宋体" w:hAnsi="宋体"/>
                <w:szCs w:val="21"/>
              </w:rPr>
            </w:pPr>
            <w:r>
              <w:rPr>
                <w:rFonts w:hint="eastAsia" w:ascii="宋体" w:hAnsi="宋体"/>
                <w:szCs w:val="21"/>
              </w:rPr>
              <w:t>公司外部沟通的内容主要有：a)与供方沟通采购产品或服务信息等；b)与顾客沟通需求、交付时间等；c)与当地政府主管部门进行政策和适用法规等方面。</w:t>
            </w:r>
          </w:p>
          <w:p>
            <w:pPr>
              <w:tabs>
                <w:tab w:val="left" w:pos="7380"/>
              </w:tabs>
              <w:rPr>
                <w:rFonts w:ascii="宋体" w:hAnsi="宋体"/>
                <w:szCs w:val="21"/>
              </w:rPr>
            </w:pPr>
            <w:r>
              <w:rPr>
                <w:rFonts w:hint="eastAsia" w:ascii="宋体" w:hAnsi="宋体"/>
                <w:szCs w:val="21"/>
              </w:rPr>
              <w:t>尚未产生因沟通不畅产生的客户投诉或不合格。</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文件总要求</w:t>
            </w:r>
          </w:p>
        </w:tc>
        <w:tc>
          <w:tcPr>
            <w:tcW w:w="960" w:type="dxa"/>
          </w:tcPr>
          <w:p>
            <w:pPr>
              <w:tabs>
                <w:tab w:val="left" w:pos="7380"/>
              </w:tabs>
              <w:rPr>
                <w:rFonts w:ascii="宋体" w:hAnsi="宋体"/>
                <w:szCs w:val="21"/>
              </w:rPr>
            </w:pPr>
            <w:r>
              <w:rPr>
                <w:rFonts w:hint="eastAsia" w:ascii="宋体" w:hAnsi="宋体"/>
                <w:szCs w:val="21"/>
              </w:rPr>
              <w:t>QE7.5.1</w:t>
            </w:r>
          </w:p>
        </w:tc>
        <w:tc>
          <w:tcPr>
            <w:tcW w:w="10004" w:type="dxa"/>
          </w:tcPr>
          <w:p>
            <w:pPr>
              <w:spacing w:line="360" w:lineRule="exact"/>
              <w:ind w:firstLine="420" w:firstLineChars="200"/>
              <w:rPr>
                <w:rFonts w:ascii="宋体" w:hAnsi="宋体"/>
                <w:szCs w:val="21"/>
              </w:rPr>
            </w:pPr>
            <w:r>
              <w:rPr>
                <w:rFonts w:hint="eastAsia" w:ascii="宋体" w:hAnsi="宋体" w:cs="宋体"/>
                <w:kern w:val="0"/>
                <w:szCs w:val="21"/>
              </w:rPr>
              <w:t>企业策划管理体系文件主要包括：</w:t>
            </w:r>
            <w:r>
              <w:rPr>
                <w:rFonts w:hint="eastAsia" w:ascii="宋体" w:hAnsi="宋体"/>
                <w:szCs w:val="21"/>
              </w:rPr>
              <w:t>管理手册（</w:t>
            </w:r>
            <w:r>
              <w:rPr>
                <w:rFonts w:ascii="宋体" w:hAnsi="宋体"/>
                <w:szCs w:val="21"/>
              </w:rPr>
              <w:t>KJJY-SC-2020 A/</w:t>
            </w:r>
            <w:r>
              <w:rPr>
                <w:rFonts w:hint="eastAsia" w:ascii="宋体" w:hAnsi="宋体"/>
                <w:szCs w:val="21"/>
              </w:rPr>
              <w:t>0）、程序文件汇编、其他体系文件（包括应急预案、供方评价准则、管理制度、</w:t>
            </w:r>
            <w:r>
              <w:rPr>
                <w:rFonts w:ascii="宋体" w:hAnsi="宋体"/>
                <w:szCs w:val="21"/>
              </w:rPr>
              <w:t>环境目标指标及管理方案</w:t>
            </w:r>
            <w:r>
              <w:rPr>
                <w:rFonts w:hint="eastAsia" w:ascii="宋体" w:hAnsi="宋体"/>
                <w:szCs w:val="21"/>
              </w:rPr>
              <w:t>等），策划并制定的管理体系文件基本充分、适宜。企业有识别并收集了适用的外来文件，如产品技术标准、环境相关的法律法规、质量相关的技术标准等</w:t>
            </w:r>
            <w:r>
              <w:rPr>
                <w:rFonts w:hint="eastAsia" w:ascii="宋体" w:hAnsi="宋体" w:cs="宋体"/>
                <w:kern w:val="0"/>
                <w:szCs w:val="21"/>
              </w:rPr>
              <w:t>，策划的文件化信息基本充分、操作性较强。成文信息主要以采用纸质和</w:t>
            </w:r>
            <w:r>
              <w:rPr>
                <w:rFonts w:hint="eastAsia" w:ascii="宋体" w:hAnsi="宋体"/>
                <w:szCs w:val="21"/>
              </w:rPr>
              <w:t>电子媒体</w:t>
            </w:r>
            <w:r>
              <w:rPr>
                <w:rFonts w:hint="eastAsia" w:ascii="宋体" w:hAnsi="宋体" w:cs="宋体"/>
                <w:kern w:val="0"/>
                <w:szCs w:val="21"/>
              </w:rPr>
              <w:t>等形式保存。</w:t>
            </w:r>
            <w:r>
              <w:rPr>
                <w:rFonts w:hint="eastAsia" w:ascii="宋体" w:hAnsi="宋体"/>
                <w:szCs w:val="21"/>
              </w:rPr>
              <w:t>成文信息控制见综合部</w:t>
            </w:r>
            <w:r>
              <w:rPr>
                <w:rFonts w:hint="eastAsia" w:ascii="宋体" w:hAnsi="宋体" w:cs="宋体"/>
                <w:kern w:val="0"/>
                <w:szCs w:val="21"/>
              </w:rPr>
              <w:t>审核记录。</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r>
              <w:rPr>
                <w:rFonts w:hint="eastAsia" w:ascii="宋体" w:hAnsi="宋体"/>
                <w:szCs w:val="21"/>
              </w:rPr>
              <w:t>监测、</w:t>
            </w:r>
          </w:p>
          <w:p>
            <w:pPr>
              <w:tabs>
                <w:tab w:val="left" w:pos="7380"/>
              </w:tabs>
              <w:rPr>
                <w:rFonts w:ascii="宋体" w:hAnsi="宋体"/>
                <w:szCs w:val="21"/>
              </w:rPr>
            </w:pPr>
            <w:r>
              <w:rPr>
                <w:rFonts w:hint="eastAsia" w:ascii="宋体" w:hAnsi="宋体"/>
                <w:szCs w:val="21"/>
              </w:rPr>
              <w:t>分析与评价</w:t>
            </w:r>
          </w:p>
          <w:p>
            <w:pPr>
              <w:rPr>
                <w:rFonts w:ascii="宋体" w:hAnsi="宋体"/>
                <w:szCs w:val="21"/>
              </w:rPr>
            </w:pPr>
          </w:p>
        </w:tc>
        <w:tc>
          <w:tcPr>
            <w:tcW w:w="960" w:type="dxa"/>
          </w:tcPr>
          <w:p>
            <w:pPr>
              <w:tabs>
                <w:tab w:val="left" w:pos="7380"/>
              </w:tabs>
              <w:ind w:firstLine="2" w:firstLineChars="1"/>
              <w:rPr>
                <w:rFonts w:ascii="宋体" w:hAnsi="宋体"/>
                <w:color w:val="000000"/>
                <w:szCs w:val="21"/>
              </w:rPr>
            </w:pPr>
            <w:r>
              <w:rPr>
                <w:rFonts w:hint="eastAsia" w:ascii="宋体" w:hAnsi="宋体"/>
                <w:color w:val="000000"/>
                <w:szCs w:val="21"/>
              </w:rPr>
              <w:t>Q9.1.1</w:t>
            </w:r>
          </w:p>
          <w:p>
            <w:pPr>
              <w:tabs>
                <w:tab w:val="left" w:pos="7380"/>
              </w:tabs>
              <w:rPr>
                <w:rFonts w:ascii="宋体" w:hAnsi="宋体"/>
                <w:szCs w:val="21"/>
              </w:rPr>
            </w:pPr>
          </w:p>
        </w:tc>
        <w:tc>
          <w:tcPr>
            <w:tcW w:w="10004" w:type="dxa"/>
          </w:tcPr>
          <w:p>
            <w:pPr>
              <w:rPr>
                <w:rFonts w:ascii="宋体" w:hAnsi="宋体"/>
                <w:szCs w:val="21"/>
              </w:rPr>
            </w:pPr>
            <w:r>
              <w:rPr>
                <w:rFonts w:hint="eastAsia" w:ascii="宋体" w:hAnsi="宋体"/>
                <w:szCs w:val="21"/>
              </w:rPr>
              <w:t>公司对质量、环境目标完成相关数据进行了统计,在管理评审过程中对过程监视和测量情况、产品符合性情况、顾客信息反馈及投诉处理情况等相关数据进行了分析评价,识别了改进的机会。收集了顾客满意度信息，供方产品质量和公司服务过程及产品质量等方面的数据和信息，在数据分析和评价过程中有使用一些简单的数理统计方法，如排列图、因果图等，但对收集的数据和信息分析、利用不够，提出改进。</w:t>
            </w:r>
          </w:p>
          <w:p>
            <w:pPr>
              <w:rPr>
                <w:rFonts w:ascii="宋体" w:hAnsi="宋体"/>
                <w:szCs w:val="21"/>
              </w:rPr>
            </w:pPr>
            <w:r>
              <w:rPr>
                <w:rFonts w:hint="eastAsia" w:ascii="宋体" w:hAnsi="宋体"/>
                <w:szCs w:val="21"/>
              </w:rPr>
              <w:t>提供《环境管理检查记录表》综合部每季度进行一次检查，检查内容有固体废弃物处理，消防器材、节约用电等。</w:t>
            </w:r>
          </w:p>
          <w:p>
            <w:pPr>
              <w:rPr>
                <w:rFonts w:ascii="宋体" w:hAnsi="宋体"/>
                <w:szCs w:val="21"/>
              </w:rPr>
            </w:pPr>
            <w:r>
              <w:rPr>
                <w:rFonts w:hint="eastAsia" w:ascii="宋体" w:hAnsi="宋体"/>
                <w:szCs w:val="21"/>
              </w:rPr>
              <w:t>目前无需使用监视和测量设备用于环境绩效的监测。</w:t>
            </w:r>
          </w:p>
          <w:p>
            <w:pPr>
              <w:spacing w:line="276" w:lineRule="auto"/>
              <w:rPr>
                <w:rFonts w:ascii="宋体" w:hAnsi="宋体" w:cs="华文新魏"/>
                <w:szCs w:val="21"/>
              </w:rPr>
            </w:pPr>
            <w:r>
              <w:rPr>
                <w:rFonts w:hint="eastAsia" w:ascii="宋体" w:hAnsi="宋体"/>
                <w:szCs w:val="21"/>
              </w:rPr>
              <w:t>体系实施后未受到过当地环保、消防等地方政府相关职能部门的行政处罚，也为发生相关方环境投诉，以及内部员工关于安全方面的抱怨</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szCs w:val="21"/>
              </w:rPr>
            </w:pPr>
            <w:r>
              <w:rPr>
                <w:rFonts w:hint="eastAsia" w:ascii="宋体" w:hAnsi="宋体"/>
                <w:szCs w:val="21"/>
              </w:rPr>
              <w:t>监测和测量</w:t>
            </w:r>
          </w:p>
          <w:p>
            <w:pPr>
              <w:tabs>
                <w:tab w:val="left" w:pos="7380"/>
              </w:tabs>
              <w:rPr>
                <w:rFonts w:ascii="宋体" w:hAnsi="宋体"/>
                <w:szCs w:val="21"/>
              </w:rPr>
            </w:pPr>
          </w:p>
        </w:tc>
        <w:tc>
          <w:tcPr>
            <w:tcW w:w="960" w:type="dxa"/>
          </w:tcPr>
          <w:p>
            <w:pPr>
              <w:tabs>
                <w:tab w:val="left" w:pos="7380"/>
              </w:tabs>
              <w:ind w:firstLine="2" w:firstLineChars="1"/>
              <w:rPr>
                <w:rFonts w:ascii="宋体" w:hAnsi="宋体"/>
                <w:color w:val="000000"/>
                <w:szCs w:val="21"/>
              </w:rPr>
            </w:pPr>
            <w:r>
              <w:rPr>
                <w:rFonts w:hint="eastAsia" w:ascii="宋体" w:hAnsi="宋体"/>
                <w:color w:val="000000"/>
                <w:szCs w:val="21"/>
              </w:rPr>
              <w:t>E9.1.1</w:t>
            </w:r>
          </w:p>
        </w:tc>
        <w:tc>
          <w:tcPr>
            <w:tcW w:w="10004" w:type="dxa"/>
          </w:tcPr>
          <w:p>
            <w:pPr>
              <w:tabs>
                <w:tab w:val="left" w:pos="7380"/>
              </w:tabs>
              <w:rPr>
                <w:rFonts w:ascii="宋体" w:hAnsi="宋体"/>
                <w:szCs w:val="21"/>
              </w:rPr>
            </w:pPr>
            <w:r>
              <w:rPr>
                <w:rFonts w:hint="eastAsia" w:ascii="宋体" w:hAnsi="宋体"/>
                <w:szCs w:val="21"/>
              </w:rPr>
              <w:t>提供《</w:t>
            </w:r>
            <w:r>
              <w:rPr>
                <w:rFonts w:hint="eastAsia" w:ascii="宋体" w:hAnsi="宋体" w:cs="宋体"/>
                <w:szCs w:val="21"/>
              </w:rPr>
              <w:t>环境监测与测量程序</w:t>
            </w:r>
            <w:r>
              <w:rPr>
                <w:rFonts w:hint="eastAsia" w:ascii="宋体" w:hAnsi="宋体"/>
                <w:szCs w:val="21"/>
              </w:rPr>
              <w:t>》写明了相关要求</w:t>
            </w:r>
          </w:p>
          <w:p>
            <w:pPr>
              <w:tabs>
                <w:tab w:val="left" w:pos="7380"/>
              </w:tabs>
              <w:rPr>
                <w:rFonts w:ascii="宋体" w:hAnsi="宋体"/>
                <w:szCs w:val="21"/>
              </w:rPr>
            </w:pPr>
            <w:r>
              <w:rPr>
                <w:rFonts w:ascii="宋体" w:hAnsi="宋体"/>
                <w:szCs w:val="21"/>
              </w:rPr>
              <w:t>抽</w:t>
            </w:r>
            <w:r>
              <w:rPr>
                <w:rFonts w:hint="eastAsia" w:ascii="宋体" w:hAnsi="宋体"/>
                <w:szCs w:val="21"/>
              </w:rPr>
              <w:t xml:space="preserve">5-12月办公区环境检查记录 </w:t>
            </w:r>
          </w:p>
          <w:p>
            <w:pPr>
              <w:tabs>
                <w:tab w:val="left" w:pos="7380"/>
              </w:tabs>
              <w:rPr>
                <w:rFonts w:ascii="宋体" w:hAnsi="宋体"/>
                <w:szCs w:val="21"/>
              </w:rPr>
            </w:pPr>
            <w:r>
              <w:rPr>
                <w:rFonts w:hint="eastAsia" w:ascii="宋体" w:hAnsi="宋体"/>
                <w:szCs w:val="21"/>
              </w:rPr>
              <w:t>检查项目                                                  检查情况                  检查结论</w:t>
            </w:r>
          </w:p>
          <w:p>
            <w:pPr>
              <w:tabs>
                <w:tab w:val="left" w:pos="7380"/>
              </w:tabs>
              <w:rPr>
                <w:rFonts w:ascii="宋体" w:hAnsi="宋体"/>
                <w:szCs w:val="21"/>
              </w:rPr>
            </w:pPr>
            <w:r>
              <w:rPr>
                <w:rFonts w:hint="eastAsia" w:ascii="宋体" w:hAnsi="宋体"/>
                <w:szCs w:val="21"/>
              </w:rPr>
              <w:t>目标指标管理方案及措施是否落实                            相关部门已按进度落实      符合</w:t>
            </w:r>
          </w:p>
          <w:p>
            <w:pPr>
              <w:tabs>
                <w:tab w:val="left" w:pos="7380"/>
              </w:tabs>
              <w:rPr>
                <w:rFonts w:ascii="宋体" w:hAnsi="宋体"/>
                <w:szCs w:val="21"/>
              </w:rPr>
            </w:pPr>
            <w:r>
              <w:rPr>
                <w:rFonts w:hint="eastAsia" w:ascii="宋体" w:hAnsi="宋体"/>
                <w:szCs w:val="21"/>
              </w:rPr>
              <w:t>现场噪声、固废排放是否符合程序规定                        符合程序规定              符合</w:t>
            </w:r>
          </w:p>
          <w:p>
            <w:pPr>
              <w:tabs>
                <w:tab w:val="left" w:pos="7380"/>
              </w:tabs>
              <w:rPr>
                <w:rFonts w:ascii="宋体" w:hAnsi="宋体"/>
                <w:szCs w:val="21"/>
              </w:rPr>
            </w:pPr>
            <w:r>
              <w:rPr>
                <w:rFonts w:hint="eastAsia" w:ascii="宋体" w:hAnsi="宋体"/>
                <w:szCs w:val="21"/>
              </w:rPr>
              <w:t>有害物品、易燃易爆物品贮存、使用、处置是否符合程序规定    符合程序规定              符合</w:t>
            </w:r>
          </w:p>
          <w:p>
            <w:pPr>
              <w:tabs>
                <w:tab w:val="left" w:pos="7380"/>
              </w:tabs>
              <w:rPr>
                <w:rFonts w:ascii="宋体" w:hAnsi="宋体"/>
                <w:szCs w:val="21"/>
              </w:rPr>
            </w:pPr>
            <w:r>
              <w:rPr>
                <w:rFonts w:hint="eastAsia" w:ascii="宋体" w:hAnsi="宋体"/>
                <w:szCs w:val="21"/>
              </w:rPr>
              <w:t>水、电、气和原材料消耗是否在控制范围，有无跑冒滴漏现象    无跑冒滴漏现象            符合</w:t>
            </w:r>
          </w:p>
          <w:p>
            <w:pPr>
              <w:tabs>
                <w:tab w:val="left" w:pos="7380"/>
              </w:tabs>
              <w:rPr>
                <w:rFonts w:ascii="宋体" w:hAnsi="宋体"/>
                <w:szCs w:val="21"/>
              </w:rPr>
            </w:pPr>
            <w:r>
              <w:rPr>
                <w:rFonts w:hint="eastAsia" w:ascii="宋体" w:hAnsi="宋体"/>
                <w:szCs w:val="21"/>
              </w:rPr>
              <w:t>消防设施是否完好，通道是否畅通                            消防设施完好，通道畅通     符合</w:t>
            </w:r>
          </w:p>
          <w:p>
            <w:pPr>
              <w:tabs>
                <w:tab w:val="left" w:pos="7380"/>
              </w:tabs>
              <w:rPr>
                <w:rFonts w:ascii="宋体" w:hAnsi="宋体"/>
                <w:szCs w:val="21"/>
              </w:rPr>
            </w:pPr>
            <w:r>
              <w:rPr>
                <w:rFonts w:hint="eastAsia" w:ascii="宋体" w:hAnsi="宋体"/>
                <w:szCs w:val="21"/>
              </w:rPr>
              <w:t>电器设施是否完好，日常操作是否符合程序规定， 有无安全隐患</w:t>
            </w:r>
          </w:p>
          <w:p>
            <w:pPr>
              <w:tabs>
                <w:tab w:val="left" w:pos="7380"/>
              </w:tabs>
              <w:rPr>
                <w:rFonts w:ascii="宋体" w:hAnsi="宋体"/>
                <w:szCs w:val="21"/>
              </w:rPr>
            </w:pPr>
            <w:r>
              <w:rPr>
                <w:rFonts w:hint="eastAsia" w:ascii="宋体" w:hAnsi="宋体"/>
                <w:szCs w:val="21"/>
              </w:rPr>
              <w:t>要害部位防范措施是否有效，劳动防护用品佩带是否符合规定，有无安全隐患     无         符合</w:t>
            </w:r>
          </w:p>
          <w:p>
            <w:pPr>
              <w:tabs>
                <w:tab w:val="left" w:pos="7380"/>
              </w:tabs>
              <w:rPr>
                <w:rFonts w:ascii="宋体" w:hAnsi="宋体"/>
                <w:szCs w:val="21"/>
              </w:rPr>
            </w:pPr>
            <w:r>
              <w:rPr>
                <w:rFonts w:hint="eastAsia" w:ascii="宋体" w:hAnsi="宋体"/>
                <w:szCs w:val="21"/>
              </w:rPr>
              <w:t>人员资格审查是否到位                                      到位                      符合</w:t>
            </w:r>
          </w:p>
          <w:p>
            <w:pPr>
              <w:tabs>
                <w:tab w:val="left" w:pos="7380"/>
              </w:tabs>
              <w:rPr>
                <w:rFonts w:ascii="宋体" w:hAnsi="宋体"/>
                <w:szCs w:val="21"/>
              </w:rPr>
            </w:pPr>
            <w:r>
              <w:rPr>
                <w:rFonts w:hint="eastAsia" w:ascii="宋体" w:hAnsi="宋体"/>
                <w:szCs w:val="21"/>
              </w:rPr>
              <w:t xml:space="preserve">应急预案是否培训，措施及设施是否准备到位                 措施及设施基本准备到位     符合 </w:t>
            </w:r>
          </w:p>
          <w:p>
            <w:pPr>
              <w:tabs>
                <w:tab w:val="left" w:pos="7380"/>
              </w:tabs>
              <w:rPr>
                <w:rFonts w:ascii="宋体" w:hAnsi="宋体"/>
                <w:szCs w:val="21"/>
              </w:rPr>
            </w:pPr>
            <w:r>
              <w:rPr>
                <w:rFonts w:hint="eastAsia" w:ascii="宋体" w:hAnsi="宋体"/>
                <w:szCs w:val="21"/>
              </w:rPr>
              <w:t xml:space="preserve">各项文件、记录是否保存完整，标识清晰，易于查找          保存完整，标识清晰，易于查找   符合 </w:t>
            </w:r>
          </w:p>
          <w:p>
            <w:pPr>
              <w:tabs>
                <w:tab w:val="left" w:pos="7380"/>
              </w:tabs>
              <w:rPr>
                <w:rFonts w:ascii="宋体" w:hAnsi="宋体"/>
                <w:szCs w:val="21"/>
              </w:rPr>
            </w:pPr>
            <w:r>
              <w:rPr>
                <w:rFonts w:hint="eastAsia" w:ascii="宋体" w:hAnsi="宋体"/>
                <w:szCs w:val="21"/>
              </w:rPr>
              <w:t>检查人：刘永康</w:t>
            </w:r>
          </w:p>
          <w:p>
            <w:pPr>
              <w:tabs>
                <w:tab w:val="left" w:pos="7380"/>
              </w:tabs>
              <w:rPr>
                <w:rFonts w:ascii="宋体" w:hAnsi="宋体"/>
                <w:szCs w:val="21"/>
              </w:rPr>
            </w:pPr>
          </w:p>
          <w:p>
            <w:pPr>
              <w:tabs>
                <w:tab w:val="left" w:pos="7380"/>
              </w:tabs>
              <w:rPr>
                <w:rFonts w:ascii="宋体" w:hAnsi="宋体"/>
                <w:szCs w:val="21"/>
              </w:rPr>
            </w:pPr>
            <w:r>
              <w:rPr>
                <w:rFonts w:hint="eastAsia" w:ascii="宋体" w:hAnsi="宋体"/>
                <w:szCs w:val="21"/>
              </w:rPr>
              <w:t>提供《环境绩效监测评价报告》</w:t>
            </w:r>
          </w:p>
          <w:p>
            <w:pPr>
              <w:tabs>
                <w:tab w:val="left" w:pos="7380"/>
              </w:tabs>
              <w:rPr>
                <w:rFonts w:ascii="宋体" w:hAnsi="宋体"/>
                <w:szCs w:val="21"/>
              </w:rPr>
            </w:pPr>
            <w:r>
              <w:rPr>
                <w:rFonts w:hint="eastAsia" w:ascii="宋体" w:hAnsi="宋体"/>
                <w:szCs w:val="21"/>
              </w:rPr>
              <w:t>评价结论：</w:t>
            </w:r>
          </w:p>
          <w:p>
            <w:pPr>
              <w:tabs>
                <w:tab w:val="left" w:pos="7380"/>
              </w:tabs>
              <w:rPr>
                <w:rFonts w:ascii="宋体" w:hAnsi="宋体"/>
                <w:szCs w:val="21"/>
              </w:rPr>
            </w:pPr>
            <w:r>
              <w:rPr>
                <w:rFonts w:hint="eastAsia" w:ascii="宋体" w:hAnsi="宋体"/>
                <w:szCs w:val="21"/>
              </w:rPr>
              <w:t>经过公司领导组织各部门对环境体系运行情况进行评价、分析，认为：</w:t>
            </w:r>
          </w:p>
          <w:p>
            <w:pPr>
              <w:tabs>
                <w:tab w:val="left" w:pos="7380"/>
              </w:tabs>
              <w:rPr>
                <w:rFonts w:ascii="宋体" w:hAnsi="宋体"/>
                <w:szCs w:val="21"/>
              </w:rPr>
            </w:pPr>
            <w:r>
              <w:rPr>
                <w:rFonts w:hint="eastAsia" w:ascii="宋体" w:hAnsi="宋体"/>
                <w:szCs w:val="21"/>
              </w:rPr>
              <w:t>1.本公司制定的环境方针、目标、指标得到了有效的贯彻执行，全体员工对此理解比较到位，执行认真严格，并为相关方所接受；经过有关部门统计，已完成。</w:t>
            </w:r>
          </w:p>
          <w:p>
            <w:pPr>
              <w:tabs>
                <w:tab w:val="left" w:pos="7380"/>
              </w:tabs>
              <w:rPr>
                <w:rFonts w:ascii="宋体" w:hAnsi="宋体"/>
                <w:szCs w:val="21"/>
              </w:rPr>
            </w:pPr>
            <w:r>
              <w:rPr>
                <w:rFonts w:hint="eastAsia" w:ascii="宋体" w:hAnsi="宋体"/>
                <w:szCs w:val="21"/>
              </w:rPr>
              <w:t>2.本公司制定的环境管理管理方案得到了有效的落实，规定的指标和各项措施都取得了较好的效果；经过有关部门统计，已完成。</w:t>
            </w:r>
          </w:p>
          <w:p>
            <w:pPr>
              <w:tabs>
                <w:tab w:val="left" w:pos="7380"/>
              </w:tabs>
              <w:rPr>
                <w:rFonts w:ascii="宋体" w:hAnsi="宋体"/>
                <w:szCs w:val="21"/>
              </w:rPr>
            </w:pPr>
            <w:r>
              <w:rPr>
                <w:rFonts w:hint="eastAsia" w:ascii="宋体" w:hAnsi="宋体"/>
                <w:szCs w:val="21"/>
              </w:rPr>
              <w:t>3.本公司制定的各项环境管理程序，通过日常的现场检查，认为基本得到了实施；各部门现场噪声、扬尘、污水、固废、易燃易爆物品和有害物质的使用均较好的控制在法律法规允许的范围内，未发生任何污染事故和扰民现象；资源和能源的消耗均控制在计划范围之内；</w:t>
            </w:r>
          </w:p>
          <w:p>
            <w:pPr>
              <w:tabs>
                <w:tab w:val="left" w:pos="7380"/>
              </w:tabs>
              <w:rPr>
                <w:rFonts w:ascii="宋体" w:hAnsi="宋体"/>
                <w:szCs w:val="21"/>
              </w:rPr>
            </w:pPr>
            <w:r>
              <w:rPr>
                <w:rFonts w:hint="eastAsia" w:ascii="宋体" w:hAnsi="宋体"/>
                <w:szCs w:val="21"/>
              </w:rPr>
              <w:t>4.对相关法律法规和其他要求再一次进行了更新并且进行了培训和贯彻，逐条进行了对照检查，未出现违法违规情况。</w:t>
            </w:r>
          </w:p>
          <w:p>
            <w:pPr>
              <w:tabs>
                <w:tab w:val="left" w:pos="7380"/>
              </w:tabs>
              <w:rPr>
                <w:rFonts w:ascii="宋体" w:hAnsi="宋体"/>
                <w:szCs w:val="21"/>
              </w:rPr>
            </w:pPr>
            <w:r>
              <w:rPr>
                <w:rFonts w:hint="eastAsia" w:ascii="宋体" w:hAnsi="宋体"/>
                <w:szCs w:val="21"/>
              </w:rPr>
              <w:t>总之，通过贯彻GB/T24001-2015标准，公司员工的环境保护意识明显加强，公司的环境管理水平有了较大的提高，公司的各部门区域及所管辖的项目现场</w:t>
            </w:r>
          </w:p>
          <w:p>
            <w:pPr>
              <w:tabs>
                <w:tab w:val="left" w:pos="7380"/>
              </w:tabs>
              <w:rPr>
                <w:rFonts w:ascii="宋体" w:hAnsi="宋体"/>
                <w:szCs w:val="21"/>
              </w:rPr>
            </w:pPr>
            <w:r>
              <w:rPr>
                <w:rFonts w:hint="eastAsia" w:ascii="宋体" w:hAnsi="宋体"/>
                <w:szCs w:val="21"/>
              </w:rPr>
              <w:t>范围内的环境得到了有效的保护，在项目现场树立了良好的社会形象。</w:t>
            </w:r>
          </w:p>
          <w:p>
            <w:pPr>
              <w:tabs>
                <w:tab w:val="left" w:pos="7380"/>
              </w:tabs>
              <w:rPr>
                <w:rFonts w:ascii="宋体" w:hAnsi="宋体"/>
                <w:szCs w:val="21"/>
              </w:rPr>
            </w:pPr>
            <w:r>
              <w:rPr>
                <w:rFonts w:hint="eastAsia" w:ascii="宋体" w:hAnsi="宋体"/>
                <w:szCs w:val="21"/>
              </w:rPr>
              <w:t>评价人员：</w:t>
            </w:r>
            <w:bookmarkStart w:id="0" w:name="联系人"/>
            <w:r>
              <w:rPr>
                <w:rFonts w:ascii="宋体" w:hAnsi="宋体"/>
                <w:szCs w:val="21"/>
              </w:rPr>
              <w:t>刘永康</w:t>
            </w:r>
            <w:bookmarkEnd w:id="0"/>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r>
              <w:rPr>
                <w:rFonts w:hint="eastAsia" w:ascii="宋体" w:hAnsi="宋体" w:cs="Tahoma"/>
                <w:szCs w:val="21"/>
              </w:rPr>
              <w:t>管理评审</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QE9.3</w:t>
            </w:r>
          </w:p>
          <w:p>
            <w:pPr>
              <w:tabs>
                <w:tab w:val="left" w:pos="7380"/>
              </w:tabs>
              <w:rPr>
                <w:rFonts w:ascii="宋体" w:hAnsi="宋体"/>
                <w:szCs w:val="21"/>
              </w:rPr>
            </w:pPr>
          </w:p>
        </w:tc>
        <w:tc>
          <w:tcPr>
            <w:tcW w:w="10004" w:type="dxa"/>
          </w:tcPr>
          <w:p>
            <w:pPr>
              <w:tabs>
                <w:tab w:val="left" w:pos="7380"/>
              </w:tabs>
              <w:rPr>
                <w:rFonts w:ascii="宋体" w:hAnsi="宋体"/>
                <w:szCs w:val="21"/>
              </w:rPr>
            </w:pPr>
            <w:r>
              <w:rPr>
                <w:rFonts w:hint="eastAsia" w:ascii="宋体" w:hAnsi="宋体"/>
                <w:szCs w:val="21"/>
              </w:rPr>
              <w:t>公司制定了《管理评审控制程序》，文件规定每年至少进行一次管理评审。总经理于202</w:t>
            </w:r>
            <w:r>
              <w:rPr>
                <w:rFonts w:hint="eastAsia" w:ascii="宋体" w:hAnsi="宋体"/>
                <w:szCs w:val="21"/>
                <w:lang w:val="en-US" w:eastAsia="zh-CN"/>
              </w:rPr>
              <w:t>1</w:t>
            </w:r>
            <w:r>
              <w:rPr>
                <w:rFonts w:hint="eastAsia" w:ascii="宋体" w:hAnsi="宋体"/>
                <w:szCs w:val="21"/>
              </w:rPr>
              <w:t>年1</w:t>
            </w:r>
            <w:r>
              <w:rPr>
                <w:rFonts w:hint="eastAsia" w:ascii="宋体" w:hAnsi="宋体"/>
                <w:szCs w:val="21"/>
                <w:lang w:val="en-US" w:eastAsia="zh-CN"/>
              </w:rPr>
              <w:t>1</w:t>
            </w:r>
            <w:r>
              <w:rPr>
                <w:rFonts w:hint="eastAsia" w:ascii="宋体" w:hAnsi="宋体"/>
                <w:szCs w:val="21"/>
              </w:rPr>
              <w:t>月2</w:t>
            </w:r>
            <w:r>
              <w:rPr>
                <w:rFonts w:hint="eastAsia" w:ascii="宋体" w:hAnsi="宋体"/>
                <w:szCs w:val="21"/>
                <w:lang w:val="en-US" w:eastAsia="zh-CN"/>
              </w:rPr>
              <w:t>8</w:t>
            </w:r>
            <w:r>
              <w:rPr>
                <w:rFonts w:hint="eastAsia" w:ascii="宋体" w:hAnsi="宋体"/>
                <w:szCs w:val="21"/>
              </w:rPr>
              <w:t>日组织进行了一次管理评审。</w:t>
            </w:r>
          </w:p>
          <w:p>
            <w:pPr>
              <w:tabs>
                <w:tab w:val="left" w:pos="7380"/>
              </w:tabs>
              <w:rPr>
                <w:rFonts w:ascii="宋体" w:hAnsi="宋体"/>
                <w:szCs w:val="21"/>
              </w:rPr>
            </w:pPr>
            <w:r>
              <w:rPr>
                <w:rFonts w:hint="eastAsia" w:ascii="宋体" w:hAnsi="宋体"/>
                <w:szCs w:val="21"/>
              </w:rPr>
              <w:t>查《管理评审计划》，写明了管理评审的目的：评价质量/环境管理体系持续的适宜性，充分性和有效性。确定了评审时间、地点、评审组织和参加人员。规定了评审内容，提出了评审要求。总经理批准。</w:t>
            </w:r>
          </w:p>
          <w:p>
            <w:pPr>
              <w:tabs>
                <w:tab w:val="left" w:pos="7380"/>
              </w:tabs>
              <w:rPr>
                <w:rFonts w:ascii="宋体" w:hAnsi="宋体"/>
                <w:szCs w:val="21"/>
              </w:rPr>
            </w:pPr>
            <w:r>
              <w:rPr>
                <w:rFonts w:hint="eastAsia" w:ascii="宋体" w:hAnsi="宋体"/>
                <w:szCs w:val="21"/>
              </w:rPr>
              <w:t xml:space="preserve">管理评审输入由管代和各部门收集并提供相关材料，内容基本涵盖：方针目标适宜性、过程业绩、体系策划和运行情况、可能的变更、组织结构和资源情况、应对风险和机遇所采取措施的有效性内审情况、顾客满意情况、合规义务的符合情况、来自相关方的有关信息交流、重要环境因素、环境方针和目标的实现程度；环境管理体系绩效的信息，包括以下趋势：事件、不符合及纠正措施和持续改进、监视和测量结果、合规义务的履行情况、审核结果、风险与机遇；与相关方的有关沟通、资源的充分性及持续改进的机会等。 </w:t>
            </w:r>
          </w:p>
          <w:p>
            <w:pPr>
              <w:tabs>
                <w:tab w:val="left" w:pos="7380"/>
              </w:tabs>
              <w:rPr>
                <w:rFonts w:ascii="宋体" w:hAnsi="宋体"/>
                <w:szCs w:val="21"/>
              </w:rPr>
            </w:pPr>
            <w:r>
              <w:rPr>
                <w:rFonts w:hint="eastAsia" w:ascii="宋体" w:hAnsi="宋体"/>
                <w:szCs w:val="21"/>
              </w:rPr>
              <w:t>提供《管理评审报告》，对评审情况进行了总结，各部门对各过程和活动进行了总结和讨论，对内审、客户投诉、方针和目标等方面进行了评审。</w:t>
            </w:r>
          </w:p>
          <w:p>
            <w:pPr>
              <w:tabs>
                <w:tab w:val="left" w:pos="7380"/>
              </w:tabs>
              <w:rPr>
                <w:rFonts w:ascii="宋体" w:hAnsi="宋体"/>
                <w:szCs w:val="21"/>
              </w:rPr>
            </w:pPr>
            <w:r>
              <w:rPr>
                <w:rFonts w:hint="eastAsia" w:ascii="宋体" w:hAnsi="宋体"/>
                <w:szCs w:val="21"/>
              </w:rPr>
              <w:t>评审结论：管理体系运行稳定、适宜。</w:t>
            </w:r>
          </w:p>
          <w:p>
            <w:pPr>
              <w:tabs>
                <w:tab w:val="left" w:pos="7380"/>
              </w:tabs>
              <w:rPr>
                <w:rFonts w:ascii="宋体" w:hAnsi="宋体"/>
                <w:szCs w:val="21"/>
              </w:rPr>
            </w:pPr>
            <w:r>
              <w:rPr>
                <w:rFonts w:hint="eastAsia" w:ascii="宋体" w:hAnsi="宋体"/>
                <w:szCs w:val="21"/>
              </w:rPr>
              <w:t>纠正措施：</w:t>
            </w:r>
          </w:p>
          <w:p>
            <w:pPr>
              <w:tabs>
                <w:tab w:val="left" w:pos="7380"/>
              </w:tabs>
              <w:rPr>
                <w:rFonts w:ascii="宋体" w:hAnsi="宋体"/>
                <w:szCs w:val="21"/>
              </w:rPr>
            </w:pPr>
            <w:r>
              <w:rPr>
                <w:rFonts w:hint="eastAsia" w:ascii="宋体" w:hAnsi="宋体"/>
                <w:szCs w:val="21"/>
              </w:rPr>
              <w:t>组织员工对某些重要条款进行学习，如：</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w:t>
            </w:r>
            <w:r>
              <w:rPr>
                <w:rFonts w:hint="eastAsia" w:ascii="宋体" w:hAnsi="宋体"/>
                <w:szCs w:val="21"/>
              </w:rPr>
              <w:t>2能力；</w:t>
            </w:r>
          </w:p>
          <w:p>
            <w:pPr>
              <w:tabs>
                <w:tab w:val="left" w:pos="7380"/>
              </w:tabs>
              <w:rPr>
                <w:rFonts w:ascii="宋体" w:hAnsi="宋体"/>
                <w:szCs w:val="21"/>
              </w:rPr>
            </w:pPr>
            <w:r>
              <w:rPr>
                <w:rFonts w:hint="eastAsia" w:ascii="宋体" w:hAnsi="宋体"/>
                <w:szCs w:val="21"/>
              </w:rPr>
              <w:t>完善文件管理制度，加强文件正规化。</w:t>
            </w:r>
          </w:p>
          <w:p>
            <w:pPr>
              <w:tabs>
                <w:tab w:val="left" w:pos="7380"/>
              </w:tabs>
              <w:rPr>
                <w:rFonts w:ascii="宋体" w:hAnsi="宋体"/>
                <w:szCs w:val="21"/>
              </w:rPr>
            </w:pPr>
            <w:r>
              <w:rPr>
                <w:rFonts w:hint="eastAsia" w:ascii="宋体" w:hAnsi="宋体"/>
                <w:szCs w:val="21"/>
              </w:rPr>
              <w:t>抽上年度管理评审纠正措施完成情况，已完成，符合要求。</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r>
              <w:rPr>
                <w:rFonts w:hint="eastAsia" w:ascii="宋体" w:hAnsi="宋体" w:cs="Tahoma"/>
                <w:szCs w:val="21"/>
              </w:rPr>
              <w:t>改进</w:t>
            </w:r>
            <w:r>
              <w:rPr>
                <w:rFonts w:ascii="宋体" w:hAnsi="宋体" w:cs="Tahoma"/>
                <w:szCs w:val="21"/>
              </w:rPr>
              <w:t xml:space="preserve">  </w:t>
            </w:r>
            <w:r>
              <w:rPr>
                <w:rFonts w:hint="eastAsia" w:ascii="宋体" w:hAnsi="宋体" w:cs="Tahoma"/>
                <w:szCs w:val="21"/>
              </w:rPr>
              <w:t>总则</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QE10.1</w:t>
            </w:r>
          </w:p>
          <w:p>
            <w:pPr>
              <w:tabs>
                <w:tab w:val="left" w:pos="7380"/>
              </w:tabs>
              <w:rPr>
                <w:rFonts w:ascii="宋体" w:hAnsi="宋体"/>
                <w:szCs w:val="21"/>
              </w:rPr>
            </w:pPr>
          </w:p>
        </w:tc>
        <w:tc>
          <w:tcPr>
            <w:tcW w:w="10004" w:type="dxa"/>
          </w:tcPr>
          <w:p>
            <w:pPr>
              <w:rPr>
                <w:rFonts w:ascii="宋体" w:hAnsi="宋体"/>
                <w:szCs w:val="21"/>
              </w:rPr>
            </w:pPr>
            <w:r>
              <w:rPr>
                <w:rFonts w:hint="eastAsia" w:ascii="宋体" w:hAnsi="宋体"/>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pPr>
              <w:rPr>
                <w:rFonts w:ascii="宋体" w:hAnsi="宋体"/>
                <w:szCs w:val="21"/>
              </w:rPr>
            </w:pPr>
            <w:r>
              <w:rPr>
                <w:rFonts w:hint="eastAsia" w:ascii="宋体" w:hAnsi="宋体"/>
                <w:szCs w:val="21"/>
              </w:rPr>
              <w:t>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r>
              <w:rPr>
                <w:rFonts w:hint="eastAsia" w:ascii="宋体" w:hAnsi="宋体" w:cs="Tahoma"/>
                <w:szCs w:val="21"/>
              </w:rPr>
              <w:t>改进</w:t>
            </w:r>
          </w:p>
          <w:p>
            <w:pPr>
              <w:rPr>
                <w:rFonts w:ascii="宋体" w:hAnsi="宋体"/>
                <w:szCs w:val="21"/>
              </w:rPr>
            </w:pPr>
          </w:p>
        </w:tc>
        <w:tc>
          <w:tcPr>
            <w:tcW w:w="960" w:type="dxa"/>
          </w:tcPr>
          <w:p>
            <w:pPr>
              <w:tabs>
                <w:tab w:val="left" w:pos="7380"/>
              </w:tabs>
              <w:rPr>
                <w:rFonts w:ascii="宋体" w:hAnsi="宋体"/>
                <w:szCs w:val="21"/>
              </w:rPr>
            </w:pPr>
            <w:r>
              <w:rPr>
                <w:rFonts w:hint="eastAsia" w:ascii="宋体" w:hAnsi="宋体"/>
                <w:szCs w:val="21"/>
              </w:rPr>
              <w:t>QE10.3</w:t>
            </w:r>
          </w:p>
          <w:p>
            <w:pPr>
              <w:tabs>
                <w:tab w:val="left" w:pos="7380"/>
              </w:tabs>
              <w:rPr>
                <w:rFonts w:ascii="宋体" w:hAnsi="宋体"/>
                <w:szCs w:val="21"/>
              </w:rPr>
            </w:pPr>
          </w:p>
        </w:tc>
        <w:tc>
          <w:tcPr>
            <w:tcW w:w="10004" w:type="dxa"/>
          </w:tcPr>
          <w:p>
            <w:pPr>
              <w:tabs>
                <w:tab w:val="left" w:pos="7380"/>
              </w:tabs>
              <w:rPr>
                <w:rFonts w:ascii="宋体" w:hAnsi="宋体"/>
                <w:b/>
                <w:szCs w:val="21"/>
              </w:rPr>
            </w:pPr>
            <w:r>
              <w:rPr>
                <w:rFonts w:hint="eastAsia" w:ascii="宋体" w:hAnsi="宋体" w:cs="Tahoma"/>
                <w:szCs w:val="21"/>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rPr>
                <w:rFonts w:ascii="宋体" w:hAnsi="宋体"/>
                <w:szCs w:val="21"/>
              </w:rPr>
            </w:pPr>
            <w:r>
              <w:rPr>
                <w:rFonts w:hint="eastAsia" w:ascii="宋体" w:hAnsi="宋体"/>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tabs>
                <w:tab w:val="left" w:pos="7380"/>
              </w:tabs>
              <w:rPr>
                <w:rFonts w:ascii="宋体" w:hAnsi="宋体" w:cs="Tahoma"/>
                <w:szCs w:val="21"/>
              </w:rPr>
            </w:pPr>
          </w:p>
        </w:tc>
        <w:tc>
          <w:tcPr>
            <w:tcW w:w="960" w:type="dxa"/>
          </w:tcPr>
          <w:p>
            <w:pPr>
              <w:tabs>
                <w:tab w:val="left" w:pos="7380"/>
              </w:tabs>
              <w:rPr>
                <w:rFonts w:ascii="宋体" w:hAnsi="宋体"/>
                <w:szCs w:val="21"/>
              </w:rPr>
            </w:pPr>
          </w:p>
        </w:tc>
        <w:tc>
          <w:tcPr>
            <w:tcW w:w="10004" w:type="dxa"/>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提供营业执照原件真实可信.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法律法规：符合要求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顾客投诉情况：未发生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上级检查情况：未发生</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主要用于投标，未发现违规使用证据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质量抽查：体系运行期间未进行抽查情况。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在体系运行期间未发生重大质量安全事故。</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变更：无</w:t>
            </w:r>
          </w:p>
          <w:p>
            <w:pPr>
              <w:rPr>
                <w:rFonts w:ascii="宋体" w:hAnsi="宋体"/>
                <w:szCs w:val="21"/>
              </w:rPr>
            </w:pPr>
            <w:r>
              <w:rPr>
                <w:rFonts w:hint="eastAsia" w:asciiTheme="minorEastAsia" w:hAnsiTheme="minorEastAsia" w:eastAsiaTheme="minorEastAsia"/>
                <w:szCs w:val="21"/>
              </w:rPr>
              <w:t>上年度不符合整改：已完成整改，符合要求</w:t>
            </w:r>
          </w:p>
        </w:tc>
        <w:tc>
          <w:tcPr>
            <w:tcW w:w="1585" w:type="dxa"/>
          </w:tcPr>
          <w:p>
            <w:pPr>
              <w:rPr>
                <w:rFonts w:ascii="宋体" w:hAnsi="宋体"/>
                <w:szCs w:val="21"/>
              </w:rPr>
            </w:pPr>
            <w:r>
              <w:rPr>
                <w:rFonts w:hint="eastAsia" w:ascii="宋体" w:hAnsi="宋体"/>
                <w:szCs w:val="21"/>
              </w:rPr>
              <w:t>Y</w:t>
            </w:r>
          </w:p>
        </w:tc>
      </w:tr>
    </w:tbl>
    <w:p>
      <w:pPr>
        <w:pStyle w:val="6"/>
      </w:pPr>
    </w:p>
    <w:p>
      <w:pPr>
        <w:pStyle w:val="6"/>
      </w:pPr>
    </w:p>
    <w:p>
      <w:pPr>
        <w:pStyle w:val="6"/>
      </w:pPr>
    </w:p>
    <w:p>
      <w:pPr>
        <w:pStyle w:val="6"/>
      </w:pPr>
    </w:p>
    <w:p>
      <w:pPr>
        <w:pStyle w:val="6"/>
      </w:pPr>
    </w:p>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spacing w:line="276"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受审核部门：综合部     主管领导/陪同人员：刘永康 </w:t>
            </w:r>
          </w:p>
        </w:tc>
        <w:tc>
          <w:tcPr>
            <w:tcW w:w="1585" w:type="dxa"/>
            <w:vMerge w:val="restart"/>
            <w:vAlign w:val="center"/>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cstheme="minorEastAsia"/>
                <w:szCs w:val="21"/>
              </w:rPr>
            </w:pPr>
          </w:p>
        </w:tc>
        <w:tc>
          <w:tcPr>
            <w:tcW w:w="960" w:type="dxa"/>
            <w:vMerge w:val="continue"/>
            <w:vAlign w:val="center"/>
          </w:tcPr>
          <w:p>
            <w:pPr>
              <w:spacing w:line="276" w:lineRule="auto"/>
              <w:rPr>
                <w:rFonts w:asciiTheme="minorEastAsia" w:hAnsiTheme="minorEastAsia" w:eastAsiaTheme="minorEastAsia" w:cstheme="minorEastAsia"/>
                <w:szCs w:val="21"/>
              </w:rPr>
            </w:pPr>
          </w:p>
        </w:tc>
        <w:tc>
          <w:tcPr>
            <w:tcW w:w="10004" w:type="dxa"/>
            <w:vAlign w:val="center"/>
          </w:tcPr>
          <w:p>
            <w:pPr>
              <w:spacing w:before="120"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rFonts w:hint="eastAsia" w:asciiTheme="minorEastAsia" w:hAnsiTheme="minorEastAsia" w:eastAsiaTheme="minorEastAsia" w:cstheme="minorEastAsia"/>
                <w:szCs w:val="21"/>
                <w:lang w:val="en-US" w:eastAsia="zh-CN"/>
              </w:rPr>
              <w:t xml:space="preserve">张磊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审核时间：202</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年0</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日</w:t>
            </w:r>
          </w:p>
        </w:tc>
        <w:tc>
          <w:tcPr>
            <w:tcW w:w="1585" w:type="dxa"/>
            <w:vMerge w:val="continue"/>
          </w:tcPr>
          <w:p>
            <w:pPr>
              <w:spacing w:line="276"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cstheme="minorEastAsia"/>
                <w:szCs w:val="21"/>
              </w:rPr>
            </w:pPr>
          </w:p>
        </w:tc>
        <w:tc>
          <w:tcPr>
            <w:tcW w:w="960" w:type="dxa"/>
            <w:vMerge w:val="continue"/>
            <w:vAlign w:val="center"/>
          </w:tcPr>
          <w:p>
            <w:pPr>
              <w:spacing w:line="276" w:lineRule="auto"/>
              <w:rPr>
                <w:rFonts w:asciiTheme="minorEastAsia" w:hAnsiTheme="minorEastAsia" w:eastAsiaTheme="minorEastAsia" w:cstheme="minorEastAsia"/>
                <w:szCs w:val="21"/>
              </w:rPr>
            </w:pPr>
          </w:p>
        </w:tc>
        <w:tc>
          <w:tcPr>
            <w:tcW w:w="10004" w:type="dxa"/>
            <w:vAlign w:val="center"/>
          </w:tcPr>
          <w:p>
            <w:pPr>
              <w:adjustRightInd w:val="0"/>
              <w:snapToGrid w:val="0"/>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条款：Q：5.3组织的岗位、职责和权限、6.2质量目标及其实现的策划、7.1.3基础设施、8.4.1外部提供的过程、产品和服务的控制总则、8.4.2控制类型和程度、8.4.3外部供方信息9.1.1总则9.1.2顾客满意9.1.3分析和评价、9.2内部审核</w:t>
            </w:r>
          </w:p>
          <w:p>
            <w:pPr>
              <w:adjustRightInd w:val="0"/>
              <w:snapToGrid w:val="0"/>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E：5.3组织的角色、职责和权限、6.2环境目标及其实现的策划、6.1.2 环境因素、6.1.3合规义务、8.1 运行策划和控制8.2应急准备和响应9.1.1监视测量9.1.2 合规性评价9.2内审</w:t>
            </w:r>
          </w:p>
        </w:tc>
        <w:tc>
          <w:tcPr>
            <w:tcW w:w="1585" w:type="dxa"/>
            <w:vMerge w:val="continue"/>
          </w:tcPr>
          <w:p>
            <w:pPr>
              <w:spacing w:line="276"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szCs w:val="21"/>
              </w:rPr>
              <w:t>组织的角色、职责和权限/资源作用、职责和权限</w:t>
            </w: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Q/E:</w:t>
            </w:r>
            <w:r>
              <w:rPr>
                <w:rFonts w:asciiTheme="minorEastAsia" w:hAnsiTheme="minorEastAsia" w:eastAsiaTheme="minorEastAsia"/>
                <w:szCs w:val="21"/>
              </w:rPr>
              <w:t>5.3</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资源提供：配备电话、电脑、小车、办公桌椅、空调等办公及通讯设施，相关资源基本满足要求，该部门的主要作用、职责、权限包括：</w:t>
            </w:r>
          </w:p>
          <w:p>
            <w:pPr>
              <w:spacing w:line="276" w:lineRule="auto"/>
              <w:ind w:left="231" w:leftChars="110"/>
              <w:jc w:val="left"/>
              <w:rPr>
                <w:rFonts w:asciiTheme="minorEastAsia" w:hAnsiTheme="minorEastAsia" w:eastAsiaTheme="minorEastAsia"/>
                <w:szCs w:val="21"/>
              </w:rPr>
            </w:pPr>
            <w:r>
              <w:rPr>
                <w:rFonts w:hint="eastAsia" w:asciiTheme="minorEastAsia" w:hAnsiTheme="minorEastAsia" w:eastAsiaTheme="minorEastAsia"/>
                <w:szCs w:val="21"/>
              </w:rPr>
              <w:t>a.负责办公区域环境因素识别和评价</w:t>
            </w:r>
          </w:p>
          <w:p>
            <w:pPr>
              <w:spacing w:line="276" w:lineRule="auto"/>
              <w:ind w:left="231" w:leftChars="110"/>
              <w:jc w:val="left"/>
              <w:rPr>
                <w:rFonts w:asciiTheme="minorEastAsia" w:hAnsiTheme="minorEastAsia" w:eastAsiaTheme="minorEastAsia"/>
                <w:szCs w:val="21"/>
              </w:rPr>
            </w:pPr>
            <w:r>
              <w:rPr>
                <w:rFonts w:hint="eastAsia" w:asciiTheme="minorEastAsia" w:hAnsiTheme="minorEastAsia" w:eastAsiaTheme="minorEastAsia"/>
                <w:szCs w:val="21"/>
              </w:rPr>
              <w:t>b.负责能力、意识和培训工作</w:t>
            </w:r>
          </w:p>
          <w:p>
            <w:pPr>
              <w:spacing w:line="276" w:lineRule="auto"/>
              <w:ind w:left="231" w:leftChars="110"/>
              <w:jc w:val="left"/>
              <w:rPr>
                <w:rFonts w:asciiTheme="minorEastAsia" w:hAnsiTheme="minorEastAsia" w:eastAsiaTheme="minorEastAsia"/>
                <w:szCs w:val="21"/>
              </w:rPr>
            </w:pPr>
            <w:r>
              <w:rPr>
                <w:rFonts w:hint="eastAsia" w:asciiTheme="minorEastAsia" w:hAnsiTheme="minorEastAsia" w:eastAsiaTheme="minorEastAsia"/>
                <w:szCs w:val="21"/>
              </w:rPr>
              <w:t>c.负责内外部沟通、信息交流控制</w:t>
            </w:r>
          </w:p>
          <w:p>
            <w:pPr>
              <w:spacing w:line="276" w:lineRule="auto"/>
              <w:ind w:left="231" w:leftChars="110"/>
              <w:jc w:val="left"/>
              <w:rPr>
                <w:rFonts w:asciiTheme="minorEastAsia" w:hAnsiTheme="minorEastAsia" w:eastAsiaTheme="minorEastAsia"/>
                <w:szCs w:val="21"/>
              </w:rPr>
            </w:pPr>
            <w:r>
              <w:rPr>
                <w:rFonts w:hint="eastAsia" w:asciiTheme="minorEastAsia" w:hAnsiTheme="minorEastAsia" w:eastAsiaTheme="minorEastAsia"/>
                <w:szCs w:val="21"/>
              </w:rPr>
              <w:t>d.负责环境运行策划和控制归口管理</w:t>
            </w:r>
          </w:p>
          <w:p>
            <w:pPr>
              <w:spacing w:line="276" w:lineRule="auto"/>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w:t>
            </w:r>
          </w:p>
          <w:p>
            <w:pPr>
              <w:adjustRightInd w:val="0"/>
              <w:snapToGrid w:val="0"/>
              <w:spacing w:line="276" w:lineRule="auto"/>
              <w:rPr>
                <w:rFonts w:asciiTheme="minorEastAsia" w:hAnsiTheme="minorEastAsia" w:eastAsiaTheme="minorEastAsia" w:cstheme="minorEastAsia"/>
                <w:szCs w:val="21"/>
              </w:rPr>
            </w:pPr>
            <w:r>
              <w:rPr>
                <w:rFonts w:hint="eastAsia" w:asciiTheme="minorEastAsia" w:hAnsiTheme="minorEastAsia" w:eastAsiaTheme="minorEastAsia"/>
                <w:szCs w:val="21"/>
              </w:rPr>
              <w:t>综合部负责人基本熟悉本部门的角色、作用、职责和权限，上述职责和权限基本得到有效沟通和实施</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环境目标及其实现的策划</w:t>
            </w:r>
          </w:p>
          <w:p>
            <w:pPr>
              <w:spacing w:line="276" w:lineRule="auto"/>
              <w:rPr>
                <w:rFonts w:asciiTheme="minorEastAsia" w:hAnsiTheme="minorEastAsia" w:eastAsiaTheme="minorEastAsia" w:cstheme="minorEastAsia"/>
                <w:szCs w:val="21"/>
              </w:rPr>
            </w:pP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Q/E:6.2</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315" w:firstLineChars="150"/>
              <w:jc w:val="left"/>
            </w:pPr>
            <w:r>
              <w:rPr>
                <w:rFonts w:hint="eastAsia"/>
              </w:rPr>
              <w:t>有依据公司总目标制定综合部的部门目标</w:t>
            </w:r>
          </w:p>
          <w:p>
            <w:pPr>
              <w:spacing w:line="276" w:lineRule="auto"/>
              <w:ind w:firstLine="315" w:firstLineChars="150"/>
              <w:jc w:val="left"/>
              <w:rPr>
                <w:rFonts w:hint="eastAsia"/>
              </w:rPr>
            </w:pPr>
            <w:r>
              <w:rPr>
                <w:rFonts w:hint="eastAsia"/>
                <w:lang w:val="en-US" w:eastAsia="zh-CN"/>
              </w:rPr>
              <w:t>1、</w:t>
            </w:r>
            <w:r>
              <w:rPr>
                <w:rFonts w:hint="eastAsia"/>
              </w:rPr>
              <w:t>供应商评价达成率100%</w:t>
            </w:r>
          </w:p>
          <w:p>
            <w:pPr>
              <w:spacing w:line="276" w:lineRule="auto"/>
              <w:ind w:firstLine="315" w:firstLineChars="150"/>
              <w:jc w:val="left"/>
              <w:rPr>
                <w:rFonts w:hint="eastAsia"/>
              </w:rPr>
            </w:pPr>
            <w:r>
              <w:rPr>
                <w:rFonts w:hint="eastAsia"/>
                <w:lang w:val="en-US" w:eastAsia="zh-CN"/>
              </w:rPr>
              <w:t>2、</w:t>
            </w:r>
            <w:r>
              <w:rPr>
                <w:rFonts w:hint="eastAsia"/>
              </w:rPr>
              <w:t>员工培训计划实施率100%</w:t>
            </w:r>
          </w:p>
          <w:p>
            <w:pPr>
              <w:spacing w:line="276" w:lineRule="auto"/>
              <w:ind w:firstLine="315" w:firstLineChars="150"/>
              <w:jc w:val="left"/>
              <w:rPr>
                <w:rFonts w:hint="eastAsia"/>
              </w:rPr>
            </w:pPr>
            <w:r>
              <w:rPr>
                <w:rFonts w:hint="eastAsia"/>
                <w:lang w:val="en-US" w:eastAsia="zh-CN"/>
              </w:rPr>
              <w:t>3、</w:t>
            </w:r>
            <w:r>
              <w:rPr>
                <w:rFonts w:hint="eastAsia"/>
              </w:rPr>
              <w:t>产品交付及时率100%</w:t>
            </w:r>
          </w:p>
          <w:p>
            <w:pPr>
              <w:spacing w:line="276" w:lineRule="auto"/>
              <w:ind w:firstLine="315" w:firstLineChars="150"/>
              <w:jc w:val="left"/>
              <w:rPr>
                <w:rFonts w:hint="eastAsia"/>
              </w:rPr>
            </w:pPr>
            <w:r>
              <w:rPr>
                <w:rFonts w:hint="eastAsia"/>
                <w:lang w:val="en-US" w:eastAsia="zh-CN"/>
              </w:rPr>
              <w:t>4、</w:t>
            </w:r>
            <w:r>
              <w:rPr>
                <w:rFonts w:hint="eastAsia"/>
              </w:rPr>
              <w:t>顾客满意度95%以上</w:t>
            </w:r>
          </w:p>
          <w:p>
            <w:pPr>
              <w:spacing w:line="276" w:lineRule="auto"/>
              <w:ind w:firstLine="315" w:firstLineChars="150"/>
              <w:jc w:val="left"/>
              <w:rPr>
                <w:rFonts w:hint="eastAsia"/>
              </w:rPr>
            </w:pPr>
            <w:r>
              <w:rPr>
                <w:rFonts w:hint="eastAsia"/>
                <w:lang w:val="en-US" w:eastAsia="zh-CN"/>
              </w:rPr>
              <w:t>5、</w:t>
            </w:r>
            <w:r>
              <w:rPr>
                <w:rFonts w:hint="eastAsia"/>
              </w:rPr>
              <w:t>固体废物100％分类</w:t>
            </w:r>
          </w:p>
          <w:p>
            <w:pPr>
              <w:spacing w:line="276" w:lineRule="auto"/>
              <w:ind w:firstLine="315" w:firstLineChars="150"/>
              <w:jc w:val="left"/>
              <w:rPr>
                <w:rFonts w:hint="eastAsia"/>
              </w:rPr>
            </w:pPr>
            <w:r>
              <w:rPr>
                <w:rFonts w:hint="eastAsia"/>
                <w:lang w:val="en-US" w:eastAsia="zh-CN"/>
              </w:rPr>
              <w:t>6、</w:t>
            </w:r>
            <w:r>
              <w:rPr>
                <w:rFonts w:hint="eastAsia"/>
              </w:rPr>
              <w:t>火灾事故发生率为零</w:t>
            </w:r>
          </w:p>
          <w:p>
            <w:pPr>
              <w:spacing w:line="276" w:lineRule="auto"/>
              <w:ind w:firstLine="315" w:firstLineChars="150"/>
              <w:jc w:val="left"/>
            </w:pPr>
            <w:r>
              <w:rPr>
                <w:rFonts w:hint="eastAsia"/>
              </w:rPr>
              <w:t>查202</w:t>
            </w:r>
            <w:r>
              <w:rPr>
                <w:rFonts w:hint="eastAsia"/>
                <w:lang w:val="en-US" w:eastAsia="zh-CN"/>
              </w:rPr>
              <w:t>1</w:t>
            </w:r>
            <w:r>
              <w:rPr>
                <w:rFonts w:hint="eastAsia"/>
              </w:rPr>
              <w:t>年</w:t>
            </w:r>
            <w:r>
              <w:rPr>
                <w:rFonts w:hint="eastAsia"/>
                <w:lang w:val="en-US" w:eastAsia="zh-CN"/>
              </w:rPr>
              <w:t>10</w:t>
            </w:r>
            <w:r>
              <w:rPr>
                <w:rFonts w:hint="eastAsia"/>
              </w:rPr>
              <w:t>月-2021年</w:t>
            </w:r>
            <w:r>
              <w:rPr>
                <w:rFonts w:hint="eastAsia"/>
                <w:lang w:val="en-US" w:eastAsia="zh-CN"/>
              </w:rPr>
              <w:t>1</w:t>
            </w:r>
            <w:r>
              <w:rPr>
                <w:rFonts w:hint="eastAsia"/>
              </w:rPr>
              <w:t>2月目标完成情况，目标已完成。</w:t>
            </w:r>
          </w:p>
          <w:p>
            <w:pPr>
              <w:spacing w:line="276" w:lineRule="auto"/>
              <w:jc w:val="left"/>
            </w:pPr>
            <w:r>
              <w:rPr>
                <w:rFonts w:hint="eastAsia"/>
              </w:rPr>
              <w:t>查抽目标、指标、管理方案</w:t>
            </w:r>
          </w:p>
          <w:p>
            <w:pPr>
              <w:spacing w:line="276" w:lineRule="auto"/>
              <w:jc w:val="left"/>
            </w:pPr>
            <w:r>
              <w:rPr>
                <w:rFonts w:hint="eastAsia"/>
              </w:rPr>
              <w:t>1、固体废弃物100%分类，并得到有效处置</w:t>
            </w:r>
          </w:p>
          <w:p>
            <w:pPr>
              <w:spacing w:line="276" w:lineRule="auto"/>
              <w:jc w:val="left"/>
            </w:pPr>
            <w:r>
              <w:rPr>
                <w:rFonts w:hint="eastAsia"/>
              </w:rPr>
              <w:t>方案负责人：刘永康</w:t>
            </w:r>
          </w:p>
          <w:p>
            <w:pPr>
              <w:spacing w:line="276" w:lineRule="auto"/>
              <w:jc w:val="left"/>
              <w:rPr>
                <w:rFonts w:hint="default" w:eastAsia="宋体"/>
                <w:lang w:val="en-US" w:eastAsia="zh-CN"/>
              </w:rPr>
            </w:pPr>
            <w:r>
              <w:rPr>
                <w:rFonts w:hint="eastAsia"/>
              </w:rPr>
              <w:t>方案实施时间：202</w:t>
            </w:r>
            <w:r>
              <w:rPr>
                <w:rFonts w:hint="eastAsia"/>
                <w:lang w:val="en-US" w:eastAsia="zh-CN"/>
              </w:rPr>
              <w:t>1</w:t>
            </w:r>
            <w:r>
              <w:rPr>
                <w:rFonts w:hint="eastAsia"/>
              </w:rPr>
              <w:t>.</w:t>
            </w:r>
            <w:r>
              <w:rPr>
                <w:rFonts w:hint="eastAsia"/>
                <w:lang w:val="en-US" w:eastAsia="zh-CN"/>
              </w:rPr>
              <w:t>7</w:t>
            </w:r>
            <w:r>
              <w:rPr>
                <w:rFonts w:hint="eastAsia"/>
              </w:rPr>
              <w:t xml:space="preserve"> -2021.</w:t>
            </w:r>
            <w:r>
              <w:rPr>
                <w:rFonts w:hint="eastAsia"/>
                <w:lang w:val="en-US" w:eastAsia="zh-CN"/>
              </w:rPr>
              <w:t>12</w:t>
            </w:r>
          </w:p>
          <w:p>
            <w:pPr>
              <w:spacing w:line="276" w:lineRule="auto"/>
              <w:jc w:val="left"/>
            </w:pPr>
            <w:r>
              <w:rPr>
                <w:rFonts w:hint="eastAsia"/>
              </w:rPr>
              <w:t xml:space="preserve">管理方案：综合部负责制定《固体废弃物管理规定》，并报经总经理批准后实施。 </w:t>
            </w:r>
          </w:p>
          <w:p>
            <w:pPr>
              <w:spacing w:line="276" w:lineRule="auto"/>
              <w:jc w:val="left"/>
            </w:pPr>
            <w:r>
              <w:rPr>
                <w:rFonts w:hint="eastAsia"/>
              </w:rPr>
              <w:t>公司各部门严格按照《固体废弃物管理规定》的要求，对固体废弃物进行合理分类，并放置到指定位置。</w:t>
            </w:r>
          </w:p>
          <w:p>
            <w:pPr>
              <w:spacing w:line="276" w:lineRule="auto"/>
              <w:jc w:val="left"/>
            </w:pPr>
            <w:r>
              <w:rPr>
                <w:rFonts w:hint="eastAsia"/>
              </w:rPr>
              <w:t>公司按相关的要求，定期将不能回收利用的废弃物交甲方进行收集处理。</w:t>
            </w:r>
          </w:p>
          <w:p>
            <w:pPr>
              <w:spacing w:line="276" w:lineRule="auto"/>
              <w:jc w:val="left"/>
            </w:pPr>
            <w:r>
              <w:rPr>
                <w:rFonts w:hint="eastAsia"/>
              </w:rPr>
              <w:t>综合部门、生产部门及其它部门中产生的各种废弃物应督促外包方放置到指定位置，得到妥善处置，并定期进行检查。</w:t>
            </w:r>
          </w:p>
          <w:p/>
          <w:p>
            <w:pPr>
              <w:spacing w:line="276" w:lineRule="auto"/>
              <w:jc w:val="left"/>
              <w:rPr>
                <w:rFonts w:hint="eastAsia"/>
              </w:rPr>
            </w:pPr>
            <w:r>
              <w:rPr>
                <w:rFonts w:hint="eastAsia"/>
              </w:rPr>
              <w:t>环境污染事故发生率为零</w:t>
            </w:r>
          </w:p>
          <w:p>
            <w:pPr>
              <w:spacing w:line="276" w:lineRule="auto"/>
              <w:jc w:val="left"/>
            </w:pPr>
            <w:r>
              <w:rPr>
                <w:rFonts w:hint="eastAsia"/>
              </w:rPr>
              <w:t>方案负责人：刘永康</w:t>
            </w:r>
          </w:p>
          <w:p>
            <w:pPr>
              <w:spacing w:line="276" w:lineRule="auto"/>
              <w:jc w:val="left"/>
            </w:pPr>
            <w:r>
              <w:rPr>
                <w:rFonts w:hint="eastAsia"/>
              </w:rPr>
              <w:t>方案实施时间：202</w:t>
            </w:r>
            <w:r>
              <w:rPr>
                <w:rFonts w:hint="eastAsia"/>
                <w:lang w:val="en-US" w:eastAsia="zh-CN"/>
              </w:rPr>
              <w:t>1</w:t>
            </w:r>
            <w:r>
              <w:rPr>
                <w:rFonts w:hint="eastAsia"/>
              </w:rPr>
              <w:t>.</w:t>
            </w:r>
            <w:r>
              <w:rPr>
                <w:rFonts w:hint="eastAsia"/>
                <w:lang w:val="en-US" w:eastAsia="zh-CN"/>
              </w:rPr>
              <w:t>7</w:t>
            </w:r>
            <w:r>
              <w:rPr>
                <w:rFonts w:hint="eastAsia"/>
              </w:rPr>
              <w:t xml:space="preserve"> -2021.</w:t>
            </w:r>
            <w:r>
              <w:rPr>
                <w:rFonts w:hint="eastAsia"/>
                <w:lang w:val="en-US" w:eastAsia="zh-CN"/>
              </w:rPr>
              <w:t>12</w:t>
            </w:r>
          </w:p>
          <w:p>
            <w:pPr>
              <w:spacing w:line="276" w:lineRule="auto"/>
              <w:jc w:val="left"/>
            </w:pPr>
            <w:r>
              <w:rPr>
                <w:rFonts w:hint="eastAsia"/>
              </w:rPr>
              <w:t>措施：公司综合部负责设备的配备、采购与管理。</w:t>
            </w:r>
          </w:p>
          <w:p>
            <w:pPr>
              <w:spacing w:line="276" w:lineRule="auto"/>
              <w:jc w:val="left"/>
            </w:pPr>
            <w:r>
              <w:rPr>
                <w:rFonts w:hint="eastAsia"/>
              </w:rPr>
              <w:t>综合部要求配备合理数量的灭火器并确保其有效性。</w:t>
            </w:r>
          </w:p>
          <w:p>
            <w:pPr>
              <w:spacing w:line="276" w:lineRule="auto"/>
              <w:jc w:val="left"/>
            </w:pPr>
            <w:r>
              <w:rPr>
                <w:rFonts w:hint="eastAsia"/>
              </w:rPr>
              <w:t>综合部每月对各部门区域的灭火器进行检查，发现损坏及时要求更换或自行更换。</w:t>
            </w:r>
          </w:p>
          <w:p>
            <w:pPr>
              <w:spacing w:line="276" w:lineRule="auto"/>
              <w:jc w:val="left"/>
            </w:pPr>
            <w:r>
              <w:rPr>
                <w:rFonts w:hint="eastAsia"/>
              </w:rPr>
              <w:t>综合部每季度安全工作检查时，对灭火器进行检查，发现损坏及时更换。</w:t>
            </w:r>
          </w:p>
          <w:p>
            <w:pPr>
              <w:spacing w:line="276" w:lineRule="auto"/>
              <w:jc w:val="left"/>
            </w:pPr>
            <w:r>
              <w:rPr>
                <w:rFonts w:hint="eastAsia"/>
              </w:rPr>
              <w:t>各部门负责及时清理办公区域内的可燃物。</w:t>
            </w:r>
          </w:p>
          <w:p>
            <w:pPr>
              <w:spacing w:line="276" w:lineRule="auto"/>
              <w:jc w:val="left"/>
            </w:pPr>
            <w:r>
              <w:rPr>
                <w:rFonts w:hint="eastAsia"/>
              </w:rPr>
              <w:t>综合部负责监督此管理方案的落实。</w:t>
            </w:r>
          </w:p>
          <w:p>
            <w:r>
              <w:rPr>
                <w:rFonts w:hint="eastAsia"/>
              </w:rPr>
              <w:t>目前未发生环境事故，管理方案有效</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环境因素识别</w:t>
            </w:r>
          </w:p>
          <w:p>
            <w:pPr>
              <w:spacing w:line="276" w:lineRule="auto"/>
              <w:rPr>
                <w:rFonts w:asciiTheme="minorEastAsia" w:hAnsiTheme="minorEastAsia" w:eastAsiaTheme="minorEastAsia" w:cstheme="minorEastAsia"/>
                <w:szCs w:val="21"/>
              </w:rPr>
            </w:pP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E:6.1.2</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综合部负责办公区和办公活动过程中环境因素进行识别、评价工作的归口管理，环境因素的识别、评价有考虑三种时态：过去、现在、将来，三种状态：正常、异常、紧急，以及环境的六个方面，识别的</w:t>
            </w:r>
            <w:r>
              <w:rPr>
                <w:rFonts w:hint="eastAsia" w:cs="宋体" w:asciiTheme="minorEastAsia" w:hAnsiTheme="minorEastAsia" w:eastAsiaTheme="minorEastAsia"/>
                <w:bCs/>
                <w:szCs w:val="21"/>
              </w:rPr>
              <w:t>环境因素主要包括：潜在的火灾，水、电、纸张消耗，复印机、打印机使用时废气（含有氮氧化物）的排放；办公设备（复印机、打印机）适用时噪声的排放，固体废弃物（废灯管、硒鼓、废旧墨盒）的废弃，环境因素识别基本充分、齐全，查见“环境因素评价表”，经评价后确定的重要环境因素包括：</w:t>
            </w:r>
            <w:r>
              <w:rPr>
                <w:rFonts w:asciiTheme="minorEastAsia" w:hAnsiTheme="minorEastAsia" w:eastAsiaTheme="minorEastAsia"/>
                <w:szCs w:val="21"/>
              </w:rPr>
              <w:t>固废</w:t>
            </w:r>
            <w:r>
              <w:rPr>
                <w:rFonts w:hint="eastAsia" w:asciiTheme="minorEastAsia" w:hAnsiTheme="minorEastAsia" w:eastAsiaTheme="minorEastAsia"/>
                <w:szCs w:val="21"/>
              </w:rPr>
              <w:t>的</w:t>
            </w:r>
            <w:r>
              <w:rPr>
                <w:rFonts w:asciiTheme="minorEastAsia" w:hAnsiTheme="minorEastAsia" w:eastAsiaTheme="minorEastAsia"/>
                <w:szCs w:val="21"/>
              </w:rPr>
              <w:t>排放、</w:t>
            </w:r>
            <w:r>
              <w:rPr>
                <w:rFonts w:hint="eastAsia" w:asciiTheme="minorEastAsia" w:hAnsiTheme="minorEastAsia" w:eastAsiaTheme="minorEastAsia"/>
                <w:szCs w:val="21"/>
              </w:rPr>
              <w:t>潜在</w:t>
            </w:r>
            <w:r>
              <w:rPr>
                <w:rFonts w:asciiTheme="minorEastAsia" w:hAnsiTheme="minorEastAsia" w:eastAsiaTheme="minorEastAsia"/>
                <w:szCs w:val="21"/>
              </w:rPr>
              <w:t>火灾</w:t>
            </w:r>
            <w:r>
              <w:rPr>
                <w:rFonts w:hint="eastAsia" w:asciiTheme="minorEastAsia" w:hAnsiTheme="minorEastAsia" w:eastAsiaTheme="minorEastAsia"/>
                <w:szCs w:val="21"/>
              </w:rPr>
              <w:t>；</w:t>
            </w:r>
            <w:r>
              <w:rPr>
                <w:rFonts w:asciiTheme="minorEastAsia" w:hAnsiTheme="minorEastAsia" w:eastAsiaTheme="minorEastAsia"/>
                <w:szCs w:val="21"/>
              </w:rPr>
              <w:t xml:space="preserve"> </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szCs w:val="21"/>
              </w:rPr>
              <w:t>合规义务/法律法规及其他要求/合规性评价</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E:6.1.3</w:t>
            </w:r>
          </w:p>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9.1.2</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提供的《</w:t>
            </w:r>
            <w:r>
              <w:rPr>
                <w:rFonts w:hint="eastAsia" w:asciiTheme="minorEastAsia" w:hAnsiTheme="minorEastAsia" w:eastAsiaTheme="minorEastAsia"/>
                <w:iCs/>
                <w:szCs w:val="21"/>
              </w:rPr>
              <w:t>环境因素识别及评价控制程序</w:t>
            </w:r>
            <w:r>
              <w:rPr>
                <w:rFonts w:hint="eastAsia" w:asciiTheme="minorEastAsia" w:hAnsiTheme="minorEastAsia" w:eastAsiaTheme="minorEastAsia"/>
                <w:szCs w:val="21"/>
              </w:rPr>
              <w:t>》《法律法规管理及合规性评价程序》规定了合规义务/适用的法规法规及其他的识别、获取及控制要求，以及适用的法律法规评价目的、准则、方法和要求。</w:t>
            </w:r>
          </w:p>
          <w:p>
            <w:pPr>
              <w:spacing w:line="276" w:lineRule="auto"/>
              <w:rPr>
                <w:rFonts w:cs="宋体" w:asciiTheme="minorEastAsia" w:hAnsiTheme="minorEastAsia" w:eastAsiaTheme="minorEastAsia"/>
                <w:kern w:val="0"/>
                <w:szCs w:val="21"/>
              </w:rPr>
            </w:pPr>
            <w:r>
              <w:rPr>
                <w:rFonts w:hint="eastAsia" w:asciiTheme="minorEastAsia" w:hAnsiTheme="minorEastAsia" w:eastAsiaTheme="minorEastAsia"/>
                <w:szCs w:val="21"/>
              </w:rPr>
              <w:t xml:space="preserve">  综合部</w:t>
            </w:r>
            <w:r>
              <w:rPr>
                <w:rFonts w:asciiTheme="minorEastAsia" w:hAnsiTheme="minorEastAsia" w:eastAsiaTheme="minorEastAsia"/>
                <w:szCs w:val="21"/>
              </w:rPr>
              <w:t>负责识别、获取</w:t>
            </w:r>
            <w:r>
              <w:rPr>
                <w:rFonts w:hint="eastAsia" w:asciiTheme="minorEastAsia" w:hAnsiTheme="minorEastAsia" w:eastAsiaTheme="minorEastAsia"/>
                <w:szCs w:val="21"/>
              </w:rPr>
              <w:t>和</w:t>
            </w:r>
            <w:r>
              <w:rPr>
                <w:rFonts w:asciiTheme="minorEastAsia" w:hAnsiTheme="minorEastAsia" w:eastAsiaTheme="minorEastAsia"/>
                <w:szCs w:val="21"/>
              </w:rPr>
              <w:t>更新环境</w:t>
            </w:r>
            <w:r>
              <w:rPr>
                <w:rFonts w:hint="eastAsia" w:asciiTheme="minorEastAsia" w:hAnsiTheme="minorEastAsia" w:eastAsiaTheme="minorEastAsia"/>
                <w:szCs w:val="21"/>
              </w:rPr>
              <w:t>有关的适用</w:t>
            </w:r>
            <w:r>
              <w:rPr>
                <w:rFonts w:asciiTheme="minorEastAsia" w:hAnsiTheme="minorEastAsia" w:eastAsiaTheme="minorEastAsia"/>
                <w:szCs w:val="21"/>
              </w:rPr>
              <w:t>法律法规，并对其适用性</w:t>
            </w:r>
            <w:r>
              <w:rPr>
                <w:rFonts w:hint="eastAsia" w:asciiTheme="minorEastAsia" w:hAnsiTheme="minorEastAsia" w:eastAsiaTheme="minorEastAsia"/>
                <w:szCs w:val="21"/>
              </w:rPr>
              <w:t>、有效性实施</w:t>
            </w:r>
            <w:r>
              <w:rPr>
                <w:rFonts w:asciiTheme="minorEastAsia" w:hAnsiTheme="minorEastAsia" w:eastAsiaTheme="minorEastAsia"/>
                <w:szCs w:val="21"/>
              </w:rPr>
              <w:t>确认</w:t>
            </w:r>
            <w:r>
              <w:rPr>
                <w:rFonts w:hint="eastAsia" w:asciiTheme="minorEastAsia" w:hAnsiTheme="minorEastAsia" w:eastAsiaTheme="minorEastAsia"/>
                <w:szCs w:val="21"/>
              </w:rPr>
              <w:t>，获取渠道包括互联网、政府有关职能部门，</w:t>
            </w:r>
            <w:r>
              <w:rPr>
                <w:rFonts w:hint="eastAsia" w:cs="宋体" w:asciiTheme="minorEastAsia" w:hAnsiTheme="minorEastAsia" w:eastAsiaTheme="minorEastAsia"/>
                <w:kern w:val="0"/>
                <w:szCs w:val="21"/>
              </w:rPr>
              <w:t>企业有建立相应的收集和获取渠道，识别并获取了与环境有关的适用的法律法规及其要求，包括国家、地方适用的法律法规及其他要求。来源主要通过互联网等渠道获取和更新。查见“环境法律法规清单”</w:t>
            </w:r>
            <w:r>
              <w:rPr>
                <w:rFonts w:hint="eastAsia" w:asciiTheme="minorEastAsia" w:hAnsiTheme="minorEastAsia" w:eastAsiaTheme="minorEastAsia"/>
                <w:szCs w:val="21"/>
              </w:rPr>
              <w:t>，适用的法律法规和其他要求收集基本充分、齐全。</w:t>
            </w:r>
          </w:p>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综合部近期于202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月30日组织对法律法规标准遵循情况进行了评价，查见“环境法律法规合规性评价”记录了：环境因素、法律、法规和其他要求名称、遵循情况等。评价结论：公司QE管理体系运行，能够遵循适用的法律、法规和其他要求。</w:t>
            </w:r>
          </w:p>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编制：丁红梅、刘晓龙        批准：</w:t>
            </w:r>
            <w:r>
              <w:rPr>
                <w:rFonts w:hint="eastAsia" w:asciiTheme="minorEastAsia" w:hAnsiTheme="minorEastAsia" w:eastAsiaTheme="minorEastAsia"/>
                <w:szCs w:val="21"/>
                <w:lang w:val="zh-CN"/>
              </w:rPr>
              <w:t>刘社周</w:t>
            </w: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月30日</w:t>
            </w:r>
          </w:p>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本年度合规性评价结果有提交本年度的管理评审。</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运行策划和控制/运行控制</w:t>
            </w:r>
          </w:p>
          <w:p>
            <w:pPr>
              <w:spacing w:line="276" w:lineRule="auto"/>
              <w:rPr>
                <w:rFonts w:asciiTheme="minorEastAsia" w:hAnsiTheme="minorEastAsia" w:eastAsiaTheme="minorEastAsia" w:cstheme="minorEastAsia"/>
                <w:szCs w:val="21"/>
              </w:rPr>
            </w:pP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E:8.1</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right="-107" w:rightChars="-51"/>
              <w:jc w:val="left"/>
              <w:rPr>
                <w:rFonts w:asciiTheme="minorEastAsia" w:hAnsiTheme="minorEastAsia" w:eastAsiaTheme="minorEastAsia"/>
                <w:szCs w:val="21"/>
              </w:rPr>
            </w:pPr>
            <w:r>
              <w:rPr>
                <w:rFonts w:hint="eastAsia" w:asciiTheme="minorEastAsia" w:hAnsiTheme="minorEastAsia" w:eastAsiaTheme="minorEastAsia"/>
                <w:szCs w:val="21"/>
              </w:rPr>
              <w:t>企业有策划并实施环境运行控制，提供的管理手册规对控制要求进行了描述，查见《废弃物控制程序》《</w:t>
            </w:r>
            <w:r>
              <w:rPr>
                <w:rFonts w:hint="eastAsia" w:asciiTheme="minorEastAsia" w:hAnsiTheme="minorEastAsia" w:eastAsiaTheme="minorEastAsia"/>
                <w:iCs/>
                <w:szCs w:val="21"/>
              </w:rPr>
              <w:t>节能降耗控制程序</w:t>
            </w:r>
            <w:r>
              <w:rPr>
                <w:rFonts w:hint="eastAsia" w:asciiTheme="minorEastAsia" w:hAnsiTheme="minorEastAsia" w:eastAsiaTheme="minorEastAsia"/>
                <w:szCs w:val="21"/>
              </w:rPr>
              <w:t>》《安全控制程序》等运行控制文件。</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   综合部识别的环境因素因素运行控制情况如下：</w:t>
            </w:r>
          </w:p>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1、办公生活污水控制：直接排入办公区域属在地市政管网</w:t>
            </w:r>
          </w:p>
          <w:p>
            <w:pPr>
              <w:spacing w:line="276" w:lineRule="auto"/>
              <w:ind w:right="13" w:rightChars="6" w:firstLine="210" w:firstLineChars="100"/>
              <w:rPr>
                <w:rFonts w:asciiTheme="minorEastAsia" w:hAnsiTheme="minorEastAsia" w:eastAsiaTheme="minorEastAsia"/>
                <w:szCs w:val="21"/>
              </w:rPr>
            </w:pPr>
            <w:r>
              <w:rPr>
                <w:rFonts w:hint="eastAsia" w:asciiTheme="minorEastAsia" w:hAnsiTheme="minorEastAsia" w:eastAsiaTheme="minorEastAsia"/>
                <w:szCs w:val="21"/>
              </w:rPr>
              <w:t>2、废气控制：办公区域无有毒、有害气体；</w:t>
            </w:r>
          </w:p>
          <w:p>
            <w:pPr>
              <w:spacing w:line="276" w:lineRule="auto"/>
              <w:ind w:right="13" w:rightChars="6" w:firstLine="210" w:firstLineChars="100"/>
              <w:rPr>
                <w:rFonts w:asciiTheme="minorEastAsia" w:hAnsiTheme="minorEastAsia" w:eastAsiaTheme="minorEastAsia"/>
                <w:szCs w:val="21"/>
              </w:rPr>
            </w:pPr>
            <w:r>
              <w:rPr>
                <w:rFonts w:hint="eastAsia" w:asciiTheme="minorEastAsia" w:hAnsiTheme="minorEastAsia" w:eastAsiaTheme="minorEastAsia"/>
                <w:szCs w:val="21"/>
              </w:rPr>
              <w:t>3、噪声控制：无明显噪声(噪声主要来源空调运行产生的噪声，环境影响很小，无忽略不计)。</w:t>
            </w:r>
          </w:p>
          <w:p>
            <w:pPr>
              <w:spacing w:line="276" w:lineRule="auto"/>
              <w:ind w:right="13" w:rightChars="6" w:firstLine="210" w:firstLineChars="100"/>
              <w:rPr>
                <w:rFonts w:asciiTheme="minorEastAsia" w:hAnsiTheme="minorEastAsia" w:eastAsiaTheme="minorEastAsia"/>
                <w:szCs w:val="21"/>
              </w:rPr>
            </w:pPr>
            <w:r>
              <w:rPr>
                <w:rFonts w:hint="eastAsia" w:asciiTheme="minorEastAsia" w:hAnsiTheme="minorEastAsia" w:eastAsiaTheme="minorEastAsia"/>
                <w:szCs w:val="21"/>
              </w:rPr>
              <w:t>4、固废控制：微信巡视未见垃圾分类处理。</w:t>
            </w:r>
          </w:p>
          <w:p>
            <w:pPr>
              <w:spacing w:line="276" w:lineRule="auto"/>
              <w:ind w:right="13" w:rightChars="6" w:firstLine="210" w:firstLineChars="100"/>
              <w:rPr>
                <w:rFonts w:asciiTheme="minorEastAsia" w:hAnsiTheme="minorEastAsia" w:eastAsiaTheme="minorEastAsia"/>
                <w:b/>
                <w:bCs/>
                <w:szCs w:val="21"/>
              </w:rPr>
            </w:pPr>
            <w:r>
              <w:rPr>
                <w:rFonts w:hint="eastAsia" w:asciiTheme="minorEastAsia" w:hAnsiTheme="minorEastAsia" w:eastAsiaTheme="minorEastAsia"/>
                <w:szCs w:val="21"/>
              </w:rPr>
              <w:t>5、节能消耗：企业有建立节约用水、用电目标考核制度，尽可能减少资源能源的消耗，综合部要求工作人员</w:t>
            </w:r>
            <w:r>
              <w:rPr>
                <w:rFonts w:asciiTheme="minorEastAsia" w:hAnsiTheme="minorEastAsia" w:eastAsiaTheme="minorEastAsia"/>
                <w:szCs w:val="21"/>
              </w:rPr>
              <w:t>节约使用纸张</w:t>
            </w:r>
            <w:r>
              <w:rPr>
                <w:rFonts w:hint="eastAsia" w:asciiTheme="minorEastAsia" w:hAnsiTheme="minorEastAsia" w:eastAsiaTheme="minorEastAsia"/>
                <w:szCs w:val="21"/>
              </w:rPr>
              <w:t>（非重要文件要求双面打印/复印）</w:t>
            </w:r>
            <w:r>
              <w:rPr>
                <w:rFonts w:asciiTheme="minorEastAsia" w:hAnsiTheme="minorEastAsia" w:eastAsiaTheme="minorEastAsia"/>
                <w:szCs w:val="21"/>
              </w:rPr>
              <w:t>，</w:t>
            </w:r>
            <w:r>
              <w:rPr>
                <w:rFonts w:hint="eastAsia" w:asciiTheme="minorEastAsia" w:hAnsiTheme="minorEastAsia" w:eastAsiaTheme="minorEastAsia"/>
                <w:szCs w:val="21"/>
              </w:rPr>
              <w:t>办公设备、设施有按规定要求使用，杜绝非正常使用，要求不德</w:t>
            </w:r>
            <w:r>
              <w:rPr>
                <w:rFonts w:asciiTheme="minorEastAsia" w:hAnsiTheme="minorEastAsia" w:eastAsiaTheme="minorEastAsia"/>
                <w:szCs w:val="21"/>
              </w:rPr>
              <w:t>使用大功率电器</w:t>
            </w:r>
            <w:r>
              <w:rPr>
                <w:rFonts w:hint="eastAsia" w:asciiTheme="minorEastAsia" w:hAnsiTheme="minorEastAsia" w:eastAsiaTheme="minorEastAsia"/>
                <w:szCs w:val="21"/>
              </w:rPr>
              <w:t>。</w:t>
            </w:r>
          </w:p>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6相关方控制：查见“致相关方的公开信”，有告知相关所需遵守的环境要求（包括方针、目标、重要环境因素，以及环境注意和配合事项等），告知时间等内容。</w:t>
            </w:r>
          </w:p>
          <w:p>
            <w:pPr>
              <w:pStyle w:val="16"/>
              <w:numPr>
                <w:ilvl w:val="0"/>
                <w:numId w:val="2"/>
              </w:numPr>
              <w:spacing w:line="276" w:lineRule="auto"/>
              <w:ind w:firstLineChars="0"/>
              <w:rPr>
                <w:rFonts w:asciiTheme="minorEastAsia" w:hAnsiTheme="minorEastAsia" w:eastAsiaTheme="minorEastAsia"/>
              </w:rPr>
            </w:pPr>
            <w:r>
              <w:rPr>
                <w:rFonts w:hint="eastAsia" w:asciiTheme="minorEastAsia" w:hAnsiTheme="minorEastAsia" w:eastAsiaTheme="minorEastAsia"/>
              </w:rPr>
              <w:t>火灾：查见“办公区环境安全检查记录”，检查内容：目标指标管理方案及措施是否落现场噪声、扬尘、污水、固废排放是否符合程序规定；现场噪声、扬尘、污水、固废排放是否符合程序规定；消防设施是否完好，通道是否畅通；电器设施是否完好，日常操作是否符合程序规定，有无安全隐患；要害部位防范措施是否有效，有无安全隐患；人员资格审查是否到位；</w:t>
            </w:r>
            <w:r>
              <w:rPr>
                <w:rFonts w:hint="eastAsia"/>
              </w:rPr>
              <w:t>应急预案是否培训，措施及设施是否准备到位；各项文件、记录是否保存完整，标识清晰，易于查找</w:t>
            </w:r>
            <w:r>
              <w:rPr>
                <w:rFonts w:hint="eastAsia" w:asciiTheme="minorEastAsia" w:hAnsiTheme="minorEastAsia" w:eastAsiaTheme="minorEastAsia"/>
              </w:rPr>
              <w:t>；符合要求。</w:t>
            </w:r>
          </w:p>
          <w:p>
            <w:pPr>
              <w:pStyle w:val="16"/>
              <w:spacing w:line="276" w:lineRule="auto"/>
              <w:ind w:left="420" w:firstLine="0" w:firstLineChars="0"/>
              <w:rPr>
                <w:rFonts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1</w:t>
            </w:r>
            <w:r>
              <w:rPr>
                <w:rFonts w:hint="eastAsia" w:asciiTheme="minorEastAsia" w:hAnsiTheme="minorEastAsia" w:eastAsiaTheme="minorEastAsia"/>
              </w:rPr>
              <w:t>-202</w:t>
            </w:r>
            <w:r>
              <w:rPr>
                <w:rFonts w:hint="eastAsia" w:asciiTheme="minorEastAsia" w:hAnsiTheme="minorEastAsia" w:eastAsiaTheme="minorEastAsia"/>
                <w:lang w:val="en-US" w:eastAsia="zh-CN"/>
              </w:rPr>
              <w:t>2</w:t>
            </w:r>
            <w:r>
              <w:rPr>
                <w:rFonts w:hint="eastAsia" w:asciiTheme="minorEastAsia" w:hAnsiTheme="minorEastAsia" w:eastAsiaTheme="minorEastAsia"/>
              </w:rPr>
              <w:t>年度环境体系运行资金需求情况：</w:t>
            </w:r>
          </w:p>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1、环保设施添置/更新：2000元</w:t>
            </w:r>
          </w:p>
          <w:p>
            <w:pPr>
              <w:pStyle w:val="16"/>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固废处置费1000元</w:t>
            </w:r>
          </w:p>
          <w:p>
            <w:pPr>
              <w:pStyle w:val="16"/>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员工福利（工资除外）：20000元</w:t>
            </w:r>
          </w:p>
          <w:p>
            <w:pPr>
              <w:pStyle w:val="16"/>
              <w:numPr>
                <w:ilvl w:val="0"/>
                <w:numId w:val="3"/>
              </w:numPr>
              <w:spacing w:line="276" w:lineRule="auto"/>
              <w:ind w:firstLineChars="0"/>
              <w:rPr>
                <w:rFonts w:asciiTheme="minorEastAsia" w:hAnsiTheme="minorEastAsia" w:eastAsiaTheme="minorEastAsia"/>
              </w:rPr>
            </w:pPr>
            <w:r>
              <w:rPr>
                <w:rFonts w:hint="eastAsia" w:asciiTheme="minorEastAsia" w:hAnsiTheme="minorEastAsia" w:eastAsiaTheme="minorEastAsia"/>
              </w:rPr>
              <w:t>水电费100000元</w:t>
            </w:r>
          </w:p>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审核范围内产品销售、服务活动过程中识别的环境因素控制，详见生产部E:8.1审核记录。</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应急准备和响应</w:t>
            </w:r>
          </w:p>
          <w:p>
            <w:pPr>
              <w:spacing w:line="276" w:lineRule="auto"/>
              <w:rPr>
                <w:rFonts w:asciiTheme="minorEastAsia" w:hAnsiTheme="minorEastAsia" w:eastAsiaTheme="minorEastAsia" w:cstheme="minorEastAsia"/>
                <w:szCs w:val="21"/>
              </w:rPr>
            </w:pPr>
          </w:p>
        </w:tc>
        <w:tc>
          <w:tcPr>
            <w:tcW w:w="960" w:type="dxa"/>
            <w:vAlign w:val="center"/>
          </w:tcPr>
          <w:p>
            <w:pPr>
              <w:spacing w:line="276"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E:8.2</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rPr>
                <w:rFonts w:asciiTheme="minorEastAsia" w:hAnsiTheme="minorEastAsia" w:eastAsiaTheme="minorEastAsia"/>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、提供的</w:t>
            </w:r>
            <w:r>
              <w:rPr>
                <w:rFonts w:hint="eastAsia" w:asciiTheme="minorEastAsia" w:hAnsiTheme="minorEastAsia" w:eastAsiaTheme="minorEastAsia"/>
                <w:kern w:val="0"/>
                <w:szCs w:val="21"/>
              </w:rPr>
              <w:t>《应急准备和响应控制程序》规定了可能发生的环境应急救援和处理程序和要求，综合部负责</w:t>
            </w:r>
            <w:r>
              <w:rPr>
                <w:rFonts w:hint="eastAsia" w:asciiTheme="minorEastAsia" w:hAnsiTheme="minorEastAsia" w:eastAsiaTheme="minorEastAsia"/>
                <w:szCs w:val="21"/>
              </w:rPr>
              <w:t>应急准备和响应，</w:t>
            </w:r>
            <w:r>
              <w:rPr>
                <w:rFonts w:hint="eastAsia" w:asciiTheme="minorEastAsia" w:hAnsiTheme="minorEastAsia" w:eastAsiaTheme="minorEastAsia"/>
                <w:kern w:val="0"/>
                <w:szCs w:val="21"/>
              </w:rPr>
              <w:t>生产部、综合部协同有关部门协调应急演习的有关工作。</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kern w:val="0"/>
                <w:szCs w:val="21"/>
              </w:rPr>
              <w:t>2、 企业</w:t>
            </w:r>
            <w:r>
              <w:rPr>
                <w:rFonts w:hint="eastAsia" w:asciiTheme="minorEastAsia" w:hAnsiTheme="minorEastAsia" w:eastAsiaTheme="minorEastAsia"/>
                <w:color w:val="000000"/>
                <w:szCs w:val="21"/>
              </w:rPr>
              <w:t>近期于202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年</w:t>
            </w:r>
            <w:r>
              <w:rPr>
                <w:rFonts w:hint="eastAsia" w:asciiTheme="minorEastAsia" w:hAnsiTheme="minorEastAsia" w:eastAsiaTheme="minorEastAsia"/>
                <w:color w:val="000000"/>
                <w:szCs w:val="21"/>
                <w:lang w:val="en-US" w:eastAsia="zh-CN"/>
              </w:rPr>
              <w:t>9</w:t>
            </w:r>
            <w:r>
              <w:rPr>
                <w:rFonts w:hint="eastAsia" w:asciiTheme="minorEastAsia" w:hAnsiTheme="minorEastAsia" w:eastAsiaTheme="minorEastAsia"/>
                <w:color w:val="000000"/>
                <w:szCs w:val="21"/>
              </w:rPr>
              <w:t>月26日组织实施了一次火灾应急预案演练，</w:t>
            </w:r>
            <w:r>
              <w:rPr>
                <w:rFonts w:asciiTheme="minorEastAsia" w:hAnsiTheme="minorEastAsia" w:eastAsiaTheme="minorEastAsia"/>
                <w:color w:val="000000"/>
                <w:szCs w:val="21"/>
              </w:rPr>
              <w:t xml:space="preserve"> </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抽查202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年</w:t>
            </w:r>
            <w:r>
              <w:rPr>
                <w:rFonts w:hint="eastAsia" w:asciiTheme="minorEastAsia" w:hAnsiTheme="minorEastAsia" w:eastAsiaTheme="minorEastAsia"/>
                <w:color w:val="000000"/>
                <w:szCs w:val="21"/>
                <w:lang w:val="en-US" w:eastAsia="zh-CN"/>
              </w:rPr>
              <w:t>9</w:t>
            </w:r>
            <w:r>
              <w:rPr>
                <w:rFonts w:hint="eastAsia" w:asciiTheme="minorEastAsia" w:hAnsiTheme="minorEastAsia" w:eastAsiaTheme="minorEastAsia"/>
                <w:color w:val="000000"/>
                <w:szCs w:val="21"/>
              </w:rPr>
              <w:t xml:space="preserve">月26日“火灾消防演习” </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地点：综合部    参加人员：全体员工</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火灾消防演习记录”记录了时间、地点、参加人员、演习过程综述、演练/总结效果评估等，演练完成后并有对演练效果进行总结评估。</w:t>
            </w:r>
          </w:p>
          <w:p>
            <w:r>
              <w:t>应急能力评价：</w:t>
            </w:r>
            <w:r>
              <w:rPr>
                <w:rFonts w:hint="eastAsia"/>
              </w:rPr>
              <w:t>参加人员基本了解，掌握了灭火器的使用方法和现场撤离路线，掌握火灾时的逃生方法</w:t>
            </w:r>
          </w:p>
          <w:p>
            <w:r>
              <w:t>演习过程表明，应急预案中设定的方法可以控制应急情况下的环境污染，将人身伤亡可能降到最低</w:t>
            </w:r>
          </w:p>
          <w:p>
            <w:pPr>
              <w:spacing w:line="276" w:lineRule="auto"/>
              <w:rPr>
                <w:rFonts w:asciiTheme="minorEastAsia" w:hAnsiTheme="minorEastAsia" w:eastAsiaTheme="minorEastAsia"/>
                <w:szCs w:val="21"/>
              </w:rPr>
            </w:pPr>
            <w:r>
              <w:rPr>
                <w:rFonts w:hint="eastAsia" w:asciiTheme="minorEastAsia" w:hAnsiTheme="minorEastAsia" w:eastAsiaTheme="minorEastAsia"/>
                <w:color w:val="000000"/>
                <w:szCs w:val="21"/>
              </w:rPr>
              <w:t>存在问题及整改措施：</w:t>
            </w:r>
            <w:r>
              <w:rPr>
                <w:rFonts w:hint="eastAsia" w:ascii="宋体" w:hAnsi="宋体" w:cs="宋体"/>
                <w:bCs/>
              </w:rPr>
              <w:t>义务消防员应经常检查火灾隐患，发现问题及时整改，今后应定期进行火灾应急演练。争取得到周边单位的配合和参与。以提高公司员工的消防安全意识</w:t>
            </w:r>
            <w:r>
              <w:rPr>
                <w:rFonts w:hint="eastAsia" w:asciiTheme="minorEastAsia" w:hAnsiTheme="minorEastAsia" w:eastAsiaTheme="minorEastAsia"/>
                <w:szCs w:val="21"/>
              </w:rPr>
              <w:t>。</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记录：丁红梅</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szCs w:val="21"/>
              </w:rPr>
              <w:t>外部提供过程、产品和服务过程管理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Q8.4</w:t>
            </w:r>
          </w:p>
        </w:tc>
        <w:tc>
          <w:tcPr>
            <w:tcW w:w="10004" w:type="dxa"/>
            <w:vAlign w:val="center"/>
          </w:tcPr>
          <w:p>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szCs w:val="21"/>
              </w:rPr>
            </w:pPr>
            <w:r>
              <w:rPr>
                <w:rFonts w:hint="eastAsia"/>
                <w:szCs w:val="21"/>
              </w:rPr>
              <w:t>供应商名称                 采购产品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永康市丽华包装             SK内包装袋</w:t>
            </w:r>
          </w:p>
          <w:p>
            <w:pPr>
              <w:rPr>
                <w:rFonts w:hint="eastAsia" w:eastAsia="宋体"/>
                <w:lang w:eastAsia="zh-CN"/>
              </w:rPr>
            </w:pPr>
            <w:r>
              <w:rPr>
                <w:rFonts w:hint="eastAsia"/>
                <w:lang w:val="en-US" w:eastAsia="zh-CN"/>
              </w:rPr>
              <w:t>浙江乔老爷铝业有限公司</w:t>
            </w:r>
            <w:r>
              <w:rPr>
                <w:rFonts w:hint="eastAsia"/>
              </w:rPr>
              <w:t xml:space="preserve">      </w:t>
            </w:r>
            <w:r>
              <w:rPr>
                <w:rFonts w:hint="eastAsia"/>
                <w:lang w:val="en-US" w:eastAsia="zh-CN"/>
              </w:rPr>
              <w:t>铝型材</w:t>
            </w:r>
          </w:p>
          <w:p>
            <w:r>
              <w:rPr>
                <w:rFonts w:hint="eastAsia"/>
              </w:rPr>
              <w:t>石家庄鸿钜冶金科技有限公司    扇梁</w:t>
            </w:r>
          </w:p>
          <w:p>
            <w:r>
              <w:rPr>
                <w:rFonts w:hint="eastAsia"/>
              </w:rPr>
              <w:t>永康市华雅塑胶五金厂</w:t>
            </w:r>
            <w:r>
              <w:rPr>
                <w:rFonts w:hint="eastAsia"/>
                <w:lang w:val="en-US" w:eastAsia="zh-CN"/>
              </w:rPr>
              <w:t xml:space="preserve">    </w:t>
            </w:r>
            <w:r>
              <w:rPr>
                <w:rFonts w:hint="eastAsia"/>
              </w:rPr>
              <w:t xml:space="preserve">    塑料配件</w:t>
            </w:r>
          </w:p>
          <w:p>
            <w:r>
              <w:rPr>
                <w:rFonts w:hint="eastAsia"/>
              </w:rPr>
              <w:t>华鑫电镀                    电镀（外包）</w:t>
            </w:r>
          </w:p>
          <w:p>
            <w:r>
              <w:rPr>
                <w:rFonts w:hint="eastAsia"/>
              </w:rPr>
              <w:t>卓航漆染印                   喷漆（外包）</w:t>
            </w:r>
          </w:p>
          <w:p>
            <w:pPr>
              <w:rPr>
                <w:szCs w:val="21"/>
              </w:rPr>
            </w:pPr>
            <w:r>
              <w:rPr>
                <w:rFonts w:hint="eastAsia"/>
                <w:szCs w:val="21"/>
              </w:rPr>
              <w:t>查见上述供方调查评价内容包括：供方资质、样品检验等，评定结论等，可以列为合格供应商.</w:t>
            </w:r>
            <w:r>
              <w:rPr>
                <w:szCs w:val="21"/>
              </w:rPr>
              <w:t xml:space="preserve"> </w:t>
            </w:r>
          </w:p>
          <w:p>
            <w:pPr>
              <w:rPr>
                <w:szCs w:val="21"/>
              </w:rPr>
            </w:pPr>
            <w:r>
              <w:rPr>
                <w:rFonts w:hint="eastAsia"/>
                <w:szCs w:val="21"/>
              </w:rPr>
              <w:t xml:space="preserve">  批准人：刘永康202</w:t>
            </w:r>
            <w:r>
              <w:rPr>
                <w:rFonts w:hint="eastAsia"/>
                <w:szCs w:val="21"/>
                <w:lang w:val="en-US" w:eastAsia="zh-CN"/>
              </w:rPr>
              <w:t>1</w:t>
            </w:r>
            <w:r>
              <w:rPr>
                <w:rFonts w:hint="eastAsia"/>
                <w:szCs w:val="21"/>
              </w:rPr>
              <w:t xml:space="preserve">年 </w:t>
            </w:r>
            <w:r>
              <w:rPr>
                <w:rFonts w:hint="eastAsia"/>
                <w:szCs w:val="21"/>
                <w:lang w:val="en-US" w:eastAsia="zh-CN"/>
              </w:rPr>
              <w:t>1</w:t>
            </w:r>
            <w:r>
              <w:rPr>
                <w:rFonts w:hint="eastAsia"/>
                <w:szCs w:val="21"/>
              </w:rPr>
              <w:t>月10日</w:t>
            </w:r>
          </w:p>
          <w:p>
            <w:pPr>
              <w:rPr>
                <w:szCs w:val="21"/>
              </w:rPr>
            </w:pPr>
          </w:p>
          <w:p>
            <w:pPr>
              <w:rPr>
                <w:szCs w:val="21"/>
              </w:rPr>
            </w:pPr>
            <w:r>
              <w:rPr>
                <w:rFonts w:hint="eastAsia"/>
                <w:szCs w:val="21"/>
              </w:rPr>
              <w:t>抽采购单：</w:t>
            </w:r>
          </w:p>
          <w:p>
            <w:pPr>
              <w:rPr>
                <w:szCs w:val="21"/>
              </w:rPr>
            </w:pPr>
            <w:r>
              <w:rPr>
                <w:rFonts w:hint="eastAsia"/>
                <w:szCs w:val="21"/>
              </w:rPr>
              <w:t>供应商：</w:t>
            </w:r>
            <w:r>
              <w:rPr>
                <w:rFonts w:hint="eastAsia"/>
                <w:szCs w:val="21"/>
                <w:lang w:val="en-US" w:eastAsia="zh-CN"/>
              </w:rPr>
              <w:t>杭州佛杰金属</w:t>
            </w:r>
            <w:r>
              <w:rPr>
                <w:rFonts w:hint="eastAsia"/>
                <w:szCs w:val="21"/>
              </w:rPr>
              <w:t>有限公司</w:t>
            </w:r>
          </w:p>
          <w:p>
            <w:pPr>
              <w:rPr>
                <w:szCs w:val="21"/>
              </w:rPr>
            </w:pPr>
            <w:r>
              <w:rPr>
                <w:rFonts w:hint="eastAsia"/>
                <w:szCs w:val="21"/>
              </w:rPr>
              <w:t>到货日期：202</w:t>
            </w:r>
            <w:r>
              <w:rPr>
                <w:rFonts w:hint="eastAsia"/>
                <w:szCs w:val="21"/>
                <w:lang w:val="en-US" w:eastAsia="zh-CN"/>
              </w:rPr>
              <w:t>1</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8</w:t>
            </w:r>
            <w:r>
              <w:rPr>
                <w:rFonts w:hint="eastAsia"/>
                <w:szCs w:val="21"/>
              </w:rPr>
              <w:t>日</w:t>
            </w:r>
          </w:p>
          <w:p>
            <w:pPr>
              <w:rPr>
                <w:szCs w:val="21"/>
              </w:rPr>
            </w:pPr>
            <w:r>
              <w:rPr>
                <w:rFonts w:hint="eastAsia"/>
                <w:szCs w:val="21"/>
              </w:rPr>
              <w:t>产品：</w:t>
            </w:r>
            <w:r>
              <w:rPr>
                <w:rFonts w:hint="eastAsia"/>
                <w:szCs w:val="21"/>
                <w:lang w:val="en-US" w:eastAsia="zh-CN"/>
              </w:rPr>
              <w:t>不锈钢卷带</w:t>
            </w:r>
            <w:r>
              <w:rPr>
                <w:rFonts w:hint="eastAsia"/>
                <w:szCs w:val="21"/>
              </w:rPr>
              <w:t xml:space="preserve">  型号：</w:t>
            </w:r>
            <w:r>
              <w:rPr>
                <w:rFonts w:hint="eastAsia"/>
                <w:szCs w:val="21"/>
                <w:lang w:val="en-US" w:eastAsia="zh-CN"/>
              </w:rPr>
              <w:t>304</w:t>
            </w:r>
            <w:r>
              <w:rPr>
                <w:rFonts w:hint="eastAsia"/>
                <w:szCs w:val="21"/>
              </w:rPr>
              <w:t xml:space="preserve">     数量：</w:t>
            </w:r>
            <w:r>
              <w:rPr>
                <w:rFonts w:hint="eastAsia"/>
                <w:szCs w:val="21"/>
                <w:lang w:val="en-US" w:eastAsia="zh-CN"/>
              </w:rPr>
              <w:t>45吨</w:t>
            </w:r>
            <w:r>
              <w:rPr>
                <w:rFonts w:hint="eastAsia"/>
                <w:szCs w:val="21"/>
              </w:rPr>
              <w:t xml:space="preserve">    </w:t>
            </w:r>
          </w:p>
          <w:p>
            <w:pPr>
              <w:rPr>
                <w:rFonts w:hint="eastAsia" w:eastAsia="宋体"/>
                <w:szCs w:val="21"/>
                <w:lang w:eastAsia="zh-CN"/>
              </w:rPr>
            </w:pPr>
            <w:r>
              <w:rPr>
                <w:rFonts w:hint="eastAsia"/>
                <w:szCs w:val="21"/>
              </w:rPr>
              <w:t>批准人：</w:t>
            </w:r>
            <w:r>
              <w:rPr>
                <w:rFonts w:hint="eastAsia"/>
                <w:szCs w:val="21"/>
                <w:lang w:val="en-US" w:eastAsia="zh-CN"/>
              </w:rPr>
              <w:t xml:space="preserve">李仿超 </w:t>
            </w:r>
            <w:r>
              <w:rPr>
                <w:rFonts w:hint="eastAsia"/>
                <w:szCs w:val="21"/>
              </w:rPr>
              <w:t>202</w:t>
            </w:r>
            <w:r>
              <w:rPr>
                <w:rFonts w:hint="eastAsia"/>
                <w:szCs w:val="21"/>
                <w:lang w:val="en-US" w:eastAsia="zh-CN"/>
              </w:rPr>
              <w:t>1</w:t>
            </w:r>
            <w:r>
              <w:rPr>
                <w:rFonts w:hint="eastAsia"/>
                <w:szCs w:val="21"/>
              </w:rPr>
              <w:t>.</w:t>
            </w:r>
            <w:r>
              <w:rPr>
                <w:rFonts w:hint="eastAsia"/>
                <w:szCs w:val="21"/>
                <w:lang w:val="en-US" w:eastAsia="zh-CN"/>
              </w:rPr>
              <w:t>12</w:t>
            </w:r>
            <w:r>
              <w:rPr>
                <w:rFonts w:hint="eastAsia"/>
                <w:szCs w:val="21"/>
              </w:rPr>
              <w:t>.</w:t>
            </w:r>
            <w:r>
              <w:rPr>
                <w:rFonts w:hint="eastAsia"/>
                <w:szCs w:val="21"/>
                <w:lang w:val="en-US" w:eastAsia="zh-CN"/>
              </w:rPr>
              <w:t>8</w:t>
            </w:r>
          </w:p>
          <w:p>
            <w:pPr>
              <w:rPr>
                <w:rFonts w:hint="eastAsia"/>
                <w:szCs w:val="21"/>
              </w:rPr>
            </w:pPr>
          </w:p>
          <w:p>
            <w:pPr>
              <w:rPr>
                <w:szCs w:val="21"/>
              </w:rPr>
            </w:pPr>
            <w:r>
              <w:rPr>
                <w:rFonts w:hint="eastAsia"/>
                <w:szCs w:val="21"/>
              </w:rPr>
              <w:t>供应商：</w:t>
            </w:r>
            <w:r>
              <w:rPr>
                <w:rFonts w:hint="eastAsia"/>
                <w:lang w:val="en-US" w:eastAsia="zh-CN"/>
              </w:rPr>
              <w:t>浙江乔老爷铝业有限公司</w:t>
            </w:r>
          </w:p>
          <w:p>
            <w:pPr>
              <w:rPr>
                <w:szCs w:val="21"/>
              </w:rPr>
            </w:pPr>
            <w:r>
              <w:rPr>
                <w:rFonts w:hint="eastAsia"/>
                <w:szCs w:val="21"/>
              </w:rPr>
              <w:t>到货日期：202</w:t>
            </w:r>
            <w:r>
              <w:rPr>
                <w:rFonts w:hint="eastAsia"/>
                <w:szCs w:val="21"/>
                <w:lang w:val="en-US" w:eastAsia="zh-CN"/>
              </w:rPr>
              <w:t>1</w:t>
            </w:r>
            <w:r>
              <w:rPr>
                <w:rFonts w:hint="eastAsia"/>
                <w:szCs w:val="21"/>
              </w:rPr>
              <w:t>年</w:t>
            </w:r>
            <w:r>
              <w:rPr>
                <w:rFonts w:hint="eastAsia"/>
                <w:szCs w:val="21"/>
                <w:lang w:val="en-US" w:eastAsia="zh-CN"/>
              </w:rPr>
              <w:t>12</w:t>
            </w:r>
            <w:r>
              <w:rPr>
                <w:rFonts w:hint="eastAsia"/>
                <w:szCs w:val="21"/>
              </w:rPr>
              <w:t>月</w:t>
            </w:r>
            <w:r>
              <w:rPr>
                <w:rFonts w:hint="eastAsia"/>
                <w:szCs w:val="21"/>
                <w:lang w:val="en-US" w:eastAsia="zh-CN"/>
              </w:rPr>
              <w:t>15</w:t>
            </w:r>
            <w:r>
              <w:rPr>
                <w:rFonts w:hint="eastAsia"/>
                <w:szCs w:val="21"/>
              </w:rPr>
              <w:t>日</w:t>
            </w:r>
          </w:p>
          <w:p>
            <w:pPr>
              <w:rPr>
                <w:szCs w:val="21"/>
              </w:rPr>
            </w:pPr>
            <w:r>
              <w:rPr>
                <w:rFonts w:hint="eastAsia"/>
                <w:szCs w:val="21"/>
              </w:rPr>
              <w:t>产品：</w:t>
            </w:r>
            <w:r>
              <w:rPr>
                <w:rFonts w:hint="eastAsia"/>
                <w:szCs w:val="21"/>
                <w:lang w:val="en-US" w:eastAsia="zh-CN"/>
              </w:rPr>
              <w:t>铝板</w:t>
            </w:r>
            <w:r>
              <w:rPr>
                <w:rFonts w:hint="eastAsia"/>
                <w:szCs w:val="21"/>
              </w:rPr>
              <w:t xml:space="preserve">  型号：</w:t>
            </w:r>
            <w:r>
              <w:rPr>
                <w:rFonts w:hint="eastAsia"/>
                <w:szCs w:val="21"/>
                <w:lang w:val="en-US" w:eastAsia="zh-CN"/>
              </w:rPr>
              <w:t>606/T6</w:t>
            </w:r>
            <w:r>
              <w:rPr>
                <w:rFonts w:hint="eastAsia"/>
                <w:szCs w:val="21"/>
              </w:rPr>
              <w:t xml:space="preserve">    数量：</w:t>
            </w:r>
            <w:r>
              <w:rPr>
                <w:rFonts w:hint="eastAsia"/>
                <w:szCs w:val="21"/>
                <w:lang w:val="en-US" w:eastAsia="zh-CN"/>
              </w:rPr>
              <w:t>30吨</w:t>
            </w:r>
            <w:r>
              <w:rPr>
                <w:rFonts w:hint="eastAsia"/>
                <w:szCs w:val="21"/>
              </w:rPr>
              <w:t xml:space="preserve">    </w:t>
            </w:r>
          </w:p>
          <w:p>
            <w:pPr>
              <w:rPr>
                <w:rFonts w:hint="default" w:eastAsia="宋体"/>
                <w:szCs w:val="21"/>
                <w:lang w:val="en-US" w:eastAsia="zh-CN"/>
              </w:rPr>
            </w:pPr>
            <w:r>
              <w:rPr>
                <w:rFonts w:hint="eastAsia"/>
                <w:szCs w:val="21"/>
              </w:rPr>
              <w:t>批准人：</w:t>
            </w:r>
            <w:r>
              <w:rPr>
                <w:rFonts w:hint="eastAsia"/>
                <w:szCs w:val="21"/>
                <w:lang w:val="en-US" w:eastAsia="zh-CN"/>
              </w:rPr>
              <w:t xml:space="preserve">李仿超 </w:t>
            </w:r>
            <w:r>
              <w:rPr>
                <w:rFonts w:hint="eastAsia"/>
                <w:szCs w:val="21"/>
              </w:rPr>
              <w:t>202</w:t>
            </w:r>
            <w:r>
              <w:rPr>
                <w:rFonts w:hint="eastAsia"/>
                <w:szCs w:val="21"/>
                <w:lang w:val="en-US" w:eastAsia="zh-CN"/>
              </w:rPr>
              <w:t>1</w:t>
            </w:r>
            <w:r>
              <w:rPr>
                <w:rFonts w:hint="eastAsia"/>
                <w:szCs w:val="21"/>
              </w:rPr>
              <w:t>.</w:t>
            </w:r>
            <w:r>
              <w:rPr>
                <w:rFonts w:hint="eastAsia"/>
                <w:szCs w:val="21"/>
                <w:lang w:val="en-US" w:eastAsia="zh-CN"/>
              </w:rPr>
              <w:t>12</w:t>
            </w:r>
            <w:r>
              <w:rPr>
                <w:rFonts w:hint="eastAsia"/>
                <w:szCs w:val="21"/>
              </w:rPr>
              <w:t>.</w:t>
            </w:r>
            <w:r>
              <w:rPr>
                <w:rFonts w:hint="eastAsia"/>
                <w:szCs w:val="21"/>
                <w:lang w:val="en-US" w:eastAsia="zh-CN"/>
              </w:rPr>
              <w:t>15</w:t>
            </w:r>
          </w:p>
          <w:p>
            <w:pPr>
              <w:rPr>
                <w:szCs w:val="21"/>
              </w:rPr>
            </w:pPr>
            <w:r>
              <w:rPr>
                <w:rFonts w:hint="eastAsia"/>
                <w:szCs w:val="21"/>
              </w:rPr>
              <w:t>另抽其他采购单，均保存完好，符合要求。</w:t>
            </w:r>
          </w:p>
          <w:p>
            <w:pPr>
              <w:rPr>
                <w:szCs w:val="21"/>
              </w:rPr>
            </w:pPr>
          </w:p>
          <w:p>
            <w:pPr>
              <w:rPr>
                <w:szCs w:val="21"/>
              </w:rPr>
            </w:pPr>
            <w:r>
              <w:rPr>
                <w:rFonts w:hint="eastAsia"/>
                <w:szCs w:val="21"/>
                <w:lang w:val="en-US" w:eastAsia="zh-CN"/>
              </w:rPr>
              <w:t>外包加工产品</w:t>
            </w:r>
            <w:r>
              <w:rPr>
                <w:rFonts w:hint="eastAsia"/>
                <w:szCs w:val="21"/>
              </w:rPr>
              <w:t>抽采购检验：</w:t>
            </w:r>
          </w:p>
          <w:p>
            <w:pPr>
              <w:rPr>
                <w:szCs w:val="21"/>
              </w:rPr>
            </w:pPr>
          </w:p>
          <w:p>
            <w:pPr>
              <w:rPr>
                <w:rFonts w:hint="eastAsia"/>
                <w:szCs w:val="21"/>
              </w:rPr>
            </w:pPr>
            <w:r>
              <w:rPr>
                <w:szCs w:val="21"/>
              </w:rPr>
              <w:t>企业喷漆检验是否有色差</w:t>
            </w:r>
            <w:r>
              <w:rPr>
                <w:rFonts w:hint="eastAsia"/>
                <w:szCs w:val="21"/>
              </w:rPr>
              <w:t>，</w:t>
            </w:r>
            <w:r>
              <w:rPr>
                <w:szCs w:val="21"/>
              </w:rPr>
              <w:t>无色差即可</w:t>
            </w:r>
          </w:p>
          <w:p>
            <w:pPr>
              <w:rPr>
                <w:rFonts w:asciiTheme="minorEastAsia" w:hAnsiTheme="minorEastAsia" w:eastAsiaTheme="minorEastAsia" w:cstheme="minorEastAsia"/>
                <w:szCs w:val="21"/>
              </w:rPr>
            </w:pPr>
            <w:r>
              <w:rPr>
                <w:rFonts w:hint="eastAsia"/>
                <w:szCs w:val="21"/>
              </w:rPr>
              <w:t>采购过程受控。</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ind w:right="-164" w:rightChars="-78"/>
              <w:jc w:val="left"/>
              <w:rPr>
                <w:rFonts w:cs="宋体" w:asciiTheme="minorEastAsia" w:hAnsiTheme="minorEastAsia" w:eastAsiaTheme="minorEastAsia"/>
                <w:szCs w:val="21"/>
              </w:rPr>
            </w:pPr>
            <w:r>
              <w:rPr>
                <w:rFonts w:hint="eastAsia" w:cs="宋体" w:asciiTheme="minorEastAsia" w:hAnsiTheme="minorEastAsia" w:eastAsiaTheme="minorEastAsia"/>
                <w:szCs w:val="21"/>
              </w:rPr>
              <w:t>监视、测量、分析和评价（总则)</w:t>
            </w:r>
          </w:p>
          <w:p>
            <w:pPr>
              <w:spacing w:line="276" w:lineRule="auto"/>
              <w:jc w:val="left"/>
              <w:rPr>
                <w:rFonts w:cs="宋体" w:asciiTheme="minorEastAsia" w:hAnsiTheme="minorEastAsia" w:eastAsiaTheme="minorEastAsia"/>
                <w:szCs w:val="21"/>
              </w:rPr>
            </w:pPr>
          </w:p>
          <w:p>
            <w:pPr>
              <w:spacing w:line="276" w:lineRule="auto"/>
              <w:rPr>
                <w:rFonts w:asciiTheme="minorEastAsia" w:hAnsiTheme="minorEastAsia" w:eastAsiaTheme="minorEastAsia" w:cstheme="minorEastAsia"/>
                <w:szCs w:val="21"/>
              </w:rPr>
            </w:pP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QE:9.1.1</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企业有策划环境绩效监视和测量控制准则，并实施；主要包括：策划并实施定期内审和管理评审；环境运行控制日常监督检查；环境目标及管理方案实施情况定期检查；合规性评价；环境管理体系绩效的外部监测等，有提供以下方面的监测证据。</w:t>
            </w:r>
          </w:p>
          <w:p>
            <w:pPr>
              <w:autoSpaceDE w:val="0"/>
              <w:autoSpaceDN w:val="0"/>
              <w:adjustRightInd w:val="0"/>
              <w:spacing w:line="276" w:lineRule="auto"/>
              <w:jc w:val="left"/>
              <w:rPr>
                <w:rFonts w:cs="宋体" w:asciiTheme="minorEastAsia" w:hAnsiTheme="minorEastAsia" w:eastAsiaTheme="minorEastAsia"/>
                <w:kern w:val="0"/>
                <w:szCs w:val="21"/>
              </w:rPr>
            </w:pPr>
            <w:r>
              <w:rPr>
                <w:rFonts w:hint="eastAsia" w:asciiTheme="minorEastAsia" w:hAnsiTheme="minorEastAsia" w:eastAsiaTheme="minorEastAsia"/>
                <w:szCs w:val="21"/>
              </w:rPr>
              <w:t>1、202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月-2021年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2月</w:t>
            </w:r>
            <w:r>
              <w:rPr>
                <w:rFonts w:hint="eastAsia" w:cs="宋体" w:asciiTheme="minorEastAsia" w:hAnsiTheme="minorEastAsia" w:eastAsiaTheme="minorEastAsia"/>
                <w:kern w:val="0"/>
                <w:szCs w:val="21"/>
              </w:rPr>
              <w:t>“环境管理活动运行检查表”</w:t>
            </w:r>
          </w:p>
          <w:p>
            <w:pPr>
              <w:autoSpaceDE w:val="0"/>
              <w:autoSpaceDN w:val="0"/>
              <w:adjustRightInd w:val="0"/>
              <w:spacing w:line="276" w:lineRule="auto"/>
              <w:ind w:firstLine="315" w:firstLineChars="15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检查部门：综合部     检查区域：办公区</w:t>
            </w:r>
          </w:p>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检查项目包括：</w:t>
            </w:r>
            <w:r>
              <w:rPr>
                <w:rFonts w:hint="eastAsia" w:asciiTheme="minorEastAsia" w:hAnsiTheme="minorEastAsia" w:eastAsiaTheme="minorEastAsia"/>
              </w:rPr>
              <w:t>目标指标管理方案及措施是否落现场噪声、扬尘、固废排放是否符合程序规定；现场噪声、扬尘、污水、固废排放是否符合程序规定；消防设施是否完好，通道是否畅通；电器设施是否完好，日常操作是否符合程序规定，有无安全隐患；要害部位防范措施是否有效，有无安全隐患；人员资格审查是否到位；</w:t>
            </w:r>
            <w:r>
              <w:rPr>
                <w:rFonts w:hint="eastAsia"/>
                <w:szCs w:val="21"/>
              </w:rPr>
              <w:t>应急预案是否培训，措施及设施是否准备到位；各项文件、记录是否保存完整，标识清晰，易于查找等</w:t>
            </w:r>
          </w:p>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 xml:space="preserve">检查结论：符合要求  检查人：丁红梅  </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2、查见202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 “环境目标及管理方案”，实施情况检查记录，上述管理方案目前落实情况良好。</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3、查见“合规性评价”。见综合部E：9.1.2审核记录 </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cs="宋体" w:asciiTheme="minorEastAsia" w:hAnsiTheme="minorEastAsia" w:eastAsiaTheme="minorEastAsia"/>
                <w:kern w:val="0"/>
                <w:szCs w:val="21"/>
              </w:rPr>
              <w:t>企业有策划并实施内审和管理评审，</w:t>
            </w:r>
            <w:r>
              <w:rPr>
                <w:rFonts w:cs="宋体" w:asciiTheme="minorEastAsia" w:hAnsiTheme="minorEastAsia" w:eastAsiaTheme="minorEastAsia"/>
                <w:kern w:val="0"/>
                <w:szCs w:val="21"/>
              </w:rPr>
              <w:t>20</w:t>
            </w:r>
            <w:r>
              <w:rPr>
                <w:rFonts w:hint="eastAsia" w:cs="宋体" w:asciiTheme="minorEastAsia" w:hAnsiTheme="minorEastAsia" w:eastAsiaTheme="minorEastAsia"/>
                <w:kern w:val="0"/>
                <w:szCs w:val="21"/>
              </w:rPr>
              <w:t>2</w:t>
            </w:r>
            <w:r>
              <w:rPr>
                <w:rFonts w:hint="eastAsia" w:cs="宋体" w:asciiTheme="minorEastAsia" w:hAnsiTheme="minorEastAsia" w:eastAsiaTheme="minorEastAsia"/>
                <w:kern w:val="0"/>
                <w:szCs w:val="21"/>
                <w:lang w:val="en-US" w:eastAsia="zh-CN"/>
              </w:rPr>
              <w:t>1</w:t>
            </w:r>
            <w:r>
              <w:rPr>
                <w:rFonts w:hint="eastAsia" w:cs="宋体" w:asciiTheme="minorEastAsia" w:hAnsiTheme="minorEastAsia" w:eastAsiaTheme="minorEastAsia"/>
                <w:kern w:val="0"/>
                <w:szCs w:val="21"/>
              </w:rPr>
              <w:t>年实施的内审和管理评审</w:t>
            </w:r>
            <w:r>
              <w:rPr>
                <w:rFonts w:hint="eastAsia" w:asciiTheme="minorEastAsia" w:hAnsiTheme="minorEastAsia" w:eastAsiaTheme="minorEastAsia"/>
                <w:szCs w:val="21"/>
              </w:rPr>
              <w:t>，详见综合部Q/E：9.2/9.3审核记录。</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5、企业为组装生产，环境因素造成的环境影响较小，故无环境监测报告。</w:t>
            </w:r>
          </w:p>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目前无需使用监视和测量设备用于环境绩效的监测。</w:t>
            </w:r>
          </w:p>
          <w:p>
            <w:pPr>
              <w:spacing w:line="276" w:lineRule="auto"/>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体系实施后未受到过当地环保、消防等地方政府相关职能部门的行政处罚，也未发生相关方环境投诉，以及内部员工关于安全方面的抱怨。</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数据分析</w:t>
            </w:r>
          </w:p>
          <w:p>
            <w:pPr>
              <w:spacing w:line="276" w:lineRule="auto"/>
              <w:rPr>
                <w:rFonts w:asciiTheme="minorEastAsia" w:hAnsiTheme="minorEastAsia" w:eastAsiaTheme="minorEastAsia" w:cstheme="minorEastAsia"/>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Q9.1.3</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企业有对以下方面的数据进行汇总分析</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1、综合部有对管理目标完成情况进行统计、分析，通过检查管理目标的达成情况，以证实管理体系的适宜性和有效性。</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2、生产部有对采购/生产产品质量进行统计分析，以改进和提高产品和服务质量</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3、生产部有对顾客满意满意信息进行统计分析，以改进外部绩效。</w:t>
            </w:r>
          </w:p>
          <w:p>
            <w:pPr>
              <w:spacing w:line="276" w:lineRule="auto"/>
              <w:ind w:firstLine="315"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提供的管理手册中规定了内部审核活动职责的划分，审核范围，审核频次，审核方案的编制等。</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内审策划和实施情况</w:t>
            </w:r>
          </w:p>
          <w:p>
            <w:pPr>
              <w:spacing w:line="276" w:lineRule="auto"/>
              <w:rPr>
                <w:rFonts w:asciiTheme="minorEastAsia" w:hAnsiTheme="minorEastAsia" w:eastAsiaTheme="minorEastAsia" w:cstheme="minorEastAsia"/>
                <w:szCs w:val="21"/>
              </w:rPr>
            </w:pPr>
          </w:p>
        </w:tc>
        <w:tc>
          <w:tcPr>
            <w:tcW w:w="960" w:type="dxa"/>
            <w:vAlign w:val="center"/>
          </w:tcPr>
          <w:p>
            <w:pPr>
              <w:spacing w:line="276"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Q/E:9.2</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315" w:firstLineChars="15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企业策划并实施了2021年度内审工作，近期于202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年1</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月15日实施了一次内审，查见以下文件及记录：</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查：“内部审核计划”，计划中有明确审核目的、范围、依据、审核日期、审核人员、日程安排等。</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内审组成员：丁红梅（A）、   审核员：</w:t>
            </w:r>
            <w:r>
              <w:rPr>
                <w:rFonts w:hint="eastAsia" w:cs="Times New Roman" w:asciiTheme="minorEastAsia" w:hAnsiTheme="minorEastAsia" w:eastAsiaTheme="minorEastAsia"/>
                <w:color w:val="000000"/>
                <w:szCs w:val="21"/>
                <w:lang w:eastAsia="zh-CN"/>
              </w:rPr>
              <w:t>刘晓龙</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上述内审人员有接受过相应的专业技能培训，并经总经理书面授权。  </w:t>
            </w:r>
          </w:p>
          <w:p>
            <w:pPr>
              <w:spacing w:line="276" w:lineRule="auto"/>
              <w:rPr>
                <w:rFonts w:hint="eastAsia" w:asciiTheme="minorEastAsia" w:hAnsiTheme="minorEastAsia" w:eastAsiaTheme="minorEastAsia"/>
                <w:color w:val="000000"/>
                <w:szCs w:val="21"/>
                <w:lang w:eastAsia="zh-CN"/>
              </w:rPr>
            </w:pPr>
            <w:r>
              <w:rPr>
                <w:rFonts w:hint="eastAsia" w:asciiTheme="minorEastAsia" w:hAnsiTheme="minorEastAsia" w:eastAsiaTheme="minorEastAsia"/>
                <w:color w:val="000000"/>
                <w:szCs w:val="21"/>
              </w:rPr>
              <w:t>编制：综合部               审批：</w:t>
            </w:r>
            <w:r>
              <w:rPr>
                <w:rFonts w:hint="eastAsia" w:asciiTheme="minorEastAsia" w:hAnsiTheme="minorEastAsia" w:eastAsiaTheme="minorEastAsia"/>
                <w:color w:val="000000"/>
                <w:szCs w:val="21"/>
                <w:lang w:val="zh-CN"/>
              </w:rPr>
              <w:t>刘社周</w:t>
            </w:r>
            <w:r>
              <w:rPr>
                <w:rFonts w:hint="eastAsia" w:asciiTheme="minorEastAsia" w:hAnsiTheme="minorEastAsia" w:eastAsiaTheme="minorEastAsia"/>
                <w:color w:val="000000"/>
                <w:szCs w:val="21"/>
              </w:rPr>
              <w:t xml:space="preserve"> 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.11.</w:t>
            </w:r>
            <w:r>
              <w:rPr>
                <w:rFonts w:hint="eastAsia" w:asciiTheme="minorEastAsia" w:hAnsiTheme="minorEastAsia" w:eastAsiaTheme="minorEastAsia"/>
                <w:color w:val="000000"/>
                <w:szCs w:val="21"/>
                <w:lang w:val="en-US" w:eastAsia="zh-CN"/>
              </w:rPr>
              <w:t>5</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查：“首/末次会议签到表”，参加会议人员有签到。</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查：“审核检查表”，通过询问、查文件、记录、现场观察等方式收据客观证据，并作了简单的审核记录，基本保证了审核的公正性和独立性。</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查：“不符合项报告”，本次审核共发1个一般不符合项</w:t>
            </w:r>
            <w:r>
              <w:rPr>
                <w:rFonts w:hint="eastAsia" w:asciiTheme="minorEastAsia" w:hAnsiTheme="minorEastAsia" w:eastAsiaTheme="minorEastAsia"/>
                <w:color w:val="000000"/>
                <w:szCs w:val="21"/>
                <w:lang w:eastAsia="zh-CN"/>
              </w:rPr>
              <w:t>：</w:t>
            </w:r>
            <w:r>
              <w:rPr>
                <w:rFonts w:hint="eastAsia" w:ascii="宋体" w:hAnsi="宋体" w:eastAsia="宋体" w:cs="宋体"/>
                <w:color w:val="000000"/>
              </w:rPr>
              <w:t>综合部未</w:t>
            </w:r>
            <w:r>
              <w:rPr>
                <w:rFonts w:hint="eastAsia" w:ascii="宋体" w:hAnsi="宋体" w:eastAsia="宋体" w:cs="宋体"/>
                <w:color w:val="000000"/>
                <w:lang w:val="en-US" w:eastAsia="zh-CN"/>
              </w:rPr>
              <w:t>提供顾客满意度分析报告</w:t>
            </w:r>
            <w:r>
              <w:rPr>
                <w:rFonts w:hint="eastAsia" w:asciiTheme="minorEastAsia" w:hAnsiTheme="minorEastAsia" w:eastAsiaTheme="minorEastAsia"/>
                <w:color w:val="000000"/>
                <w:szCs w:val="21"/>
              </w:rPr>
              <w:t>，上述不符合项事实描述清楚，原因分析正确，制定的纠正和纠正措施切实可行，并由内审员验证有效。</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查：“内部审核报告”，内容包括审核目的、范围、依据、时间、人员、审核综述、审核结论等。</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结论： 综合来看，这次内审是比较成功的审核，同时也发现我公司的质量/环境/安全管理体系运行基本是正常的、有效的。</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编制：综合部   审批：</w:t>
            </w:r>
            <w:r>
              <w:rPr>
                <w:rFonts w:hint="eastAsia" w:asciiTheme="minorEastAsia" w:hAnsiTheme="minorEastAsia" w:eastAsiaTheme="minorEastAsia"/>
                <w:color w:val="000000"/>
                <w:szCs w:val="21"/>
                <w:lang w:val="zh-CN"/>
              </w:rPr>
              <w:t>刘社周202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lang w:val="zh-CN"/>
              </w:rPr>
              <w:t>年1</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lang w:val="zh-CN"/>
              </w:rPr>
              <w:t>月1</w:t>
            </w:r>
            <w:r>
              <w:rPr>
                <w:rFonts w:hint="eastAsia" w:asciiTheme="minorEastAsia" w:hAnsiTheme="minorEastAsia" w:eastAsiaTheme="minorEastAsia"/>
                <w:color w:val="000000"/>
                <w:szCs w:val="21"/>
                <w:lang w:val="en-US" w:eastAsia="zh-CN"/>
              </w:rPr>
              <w:t>6</w:t>
            </w:r>
            <w:r>
              <w:rPr>
                <w:rFonts w:hint="eastAsia" w:asciiTheme="minorEastAsia" w:hAnsiTheme="minorEastAsia" w:eastAsiaTheme="minorEastAsia"/>
                <w:color w:val="000000"/>
                <w:szCs w:val="21"/>
                <w:lang w:val="zh-CN"/>
              </w:rPr>
              <w:t>日</w:t>
            </w:r>
          </w:p>
          <w:p>
            <w:pPr>
              <w:spacing w:line="276" w:lineRule="auto"/>
              <w:rPr>
                <w:rFonts w:asciiTheme="minorEastAsia" w:hAnsiTheme="minorEastAsia" w:eastAsiaTheme="minorEastAsia"/>
                <w:color w:val="000000"/>
                <w:szCs w:val="21"/>
              </w:rPr>
            </w:pP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本次内审相关文件及记录有分发到各有关职能部门和人员。</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bl>
    <w:p>
      <w:pPr>
        <w:pStyle w:val="6"/>
      </w:pPr>
    </w:p>
    <w:p>
      <w:pPr>
        <w:pStyle w:val="6"/>
      </w:pPr>
    </w:p>
    <w:p>
      <w:pPr>
        <w:pStyle w:val="6"/>
      </w:pP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spacing w:line="276"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960" w:type="dxa"/>
            <w:vMerge w:val="restart"/>
            <w:vAlign w:val="center"/>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004" w:type="dxa"/>
            <w:vAlign w:val="center"/>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受审核部门：生产部     主管领导/陪同人员：刘永康</w:t>
            </w:r>
          </w:p>
        </w:tc>
        <w:tc>
          <w:tcPr>
            <w:tcW w:w="1585" w:type="dxa"/>
            <w:vMerge w:val="restart"/>
            <w:vAlign w:val="center"/>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cstheme="minorEastAsia"/>
                <w:szCs w:val="21"/>
              </w:rPr>
            </w:pPr>
          </w:p>
        </w:tc>
        <w:tc>
          <w:tcPr>
            <w:tcW w:w="960" w:type="dxa"/>
            <w:vMerge w:val="continue"/>
            <w:vAlign w:val="center"/>
          </w:tcPr>
          <w:p>
            <w:pPr>
              <w:spacing w:line="276" w:lineRule="auto"/>
              <w:rPr>
                <w:rFonts w:asciiTheme="minorEastAsia" w:hAnsiTheme="minorEastAsia" w:eastAsiaTheme="minorEastAsia" w:cstheme="minorEastAsia"/>
                <w:szCs w:val="21"/>
              </w:rPr>
            </w:pPr>
          </w:p>
        </w:tc>
        <w:tc>
          <w:tcPr>
            <w:tcW w:w="10004" w:type="dxa"/>
            <w:vAlign w:val="center"/>
          </w:tcPr>
          <w:p>
            <w:pPr>
              <w:spacing w:before="120"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rFonts w:hint="eastAsia" w:asciiTheme="minorEastAsia" w:hAnsiTheme="minorEastAsia" w:eastAsiaTheme="minorEastAsia" w:cstheme="minorEastAsia"/>
                <w:szCs w:val="21"/>
                <w:lang w:val="en-US" w:eastAsia="zh-CN"/>
              </w:rPr>
              <w:t xml:space="preserve">张磊        </w:t>
            </w:r>
            <w:r>
              <w:rPr>
                <w:rFonts w:hint="eastAsia" w:asciiTheme="minorEastAsia" w:hAnsiTheme="minorEastAsia" w:eastAsiaTheme="minorEastAsia" w:cstheme="minorEastAsia"/>
                <w:szCs w:val="21"/>
              </w:rPr>
              <w:t xml:space="preserve">  审核时间：</w:t>
            </w:r>
            <w:r>
              <w:rPr>
                <w:rFonts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rPr>
              <w:t>202</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02</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26-27</w:t>
            </w:r>
            <w:r>
              <w:rPr>
                <w:rFonts w:hint="eastAsia" w:asciiTheme="minorEastAsia" w:hAnsiTheme="minorEastAsia" w:eastAsiaTheme="minorEastAsia" w:cstheme="minorEastAsia"/>
                <w:szCs w:val="21"/>
              </w:rPr>
              <w:t>日</w:t>
            </w:r>
          </w:p>
        </w:tc>
        <w:tc>
          <w:tcPr>
            <w:tcW w:w="1585" w:type="dxa"/>
            <w:vMerge w:val="continue"/>
          </w:tcPr>
          <w:p>
            <w:pPr>
              <w:spacing w:line="276"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cstheme="minorEastAsia"/>
                <w:szCs w:val="21"/>
              </w:rPr>
            </w:pPr>
          </w:p>
        </w:tc>
        <w:tc>
          <w:tcPr>
            <w:tcW w:w="960" w:type="dxa"/>
            <w:vMerge w:val="continue"/>
            <w:vAlign w:val="center"/>
          </w:tcPr>
          <w:p>
            <w:pPr>
              <w:spacing w:line="276" w:lineRule="auto"/>
              <w:rPr>
                <w:rFonts w:asciiTheme="minorEastAsia" w:hAnsiTheme="minorEastAsia" w:eastAsiaTheme="minorEastAsia" w:cstheme="minorEastAsia"/>
                <w:szCs w:val="21"/>
              </w:rPr>
            </w:pPr>
          </w:p>
        </w:tc>
        <w:tc>
          <w:tcPr>
            <w:tcW w:w="10004" w:type="dxa"/>
            <w:vAlign w:val="center"/>
          </w:tcPr>
          <w:p>
            <w:pPr>
              <w:rPr>
                <w:rFonts w:ascii="宋体" w:hAnsi="宋体"/>
                <w:sz w:val="18"/>
                <w:szCs w:val="18"/>
              </w:rPr>
            </w:pPr>
            <w:r>
              <w:rPr>
                <w:rFonts w:hint="eastAsia" w:asciiTheme="minorEastAsia" w:hAnsiTheme="minorEastAsia" w:eastAsiaTheme="minorEastAsia" w:cstheme="minorEastAsia"/>
                <w:szCs w:val="21"/>
              </w:rPr>
              <w:t>审核条款：</w:t>
            </w:r>
            <w:r>
              <w:rPr>
                <w:rFonts w:hint="eastAsia" w:ascii="宋体" w:hAnsi="宋体"/>
                <w:sz w:val="18"/>
                <w:szCs w:val="18"/>
              </w:rPr>
              <w:t>Q：5.3组织的岗位、职责和权限、6.2质量目标及其实现的策划7.1.5监视和测量资源8.1运行策划和控制、8.2.1顾客沟通、8.2.2与产品和服务有关的要求的确定、8.2.3、与产品和服务有关的要求的评审、8.2.4产品和服务要求的变更8.3产品和服务的设计开发，8.5.1生产和服务的提供、8.5.2标识和可追溯性、8.5.3顾客财产8.5.4防护8.5.5交付后活动8.5.6变更的控制8.6产品和服务的放行、8.7不合格输出的控制、9.1.2顾客满意10.2不合格和纠正措施</w:t>
            </w:r>
          </w:p>
          <w:p>
            <w:pPr>
              <w:adjustRightInd w:val="0"/>
              <w:snapToGrid w:val="0"/>
              <w:spacing w:line="276" w:lineRule="auto"/>
              <w:rPr>
                <w:rFonts w:asciiTheme="minorEastAsia" w:hAnsiTheme="minorEastAsia" w:eastAsiaTheme="minorEastAsia" w:cstheme="minorEastAsia"/>
                <w:szCs w:val="21"/>
              </w:rPr>
            </w:pPr>
            <w:r>
              <w:rPr>
                <w:rFonts w:hint="eastAsia" w:ascii="宋体" w:hAnsi="宋体"/>
                <w:sz w:val="18"/>
                <w:szCs w:val="18"/>
              </w:rPr>
              <w:t>E：5.3组织的岗位、职责和权限、6.2环境目标、6.1.2环境因素、8.1运行策划和控制、8.2应急准备和响应10.2 不符合和纠正措施</w:t>
            </w:r>
          </w:p>
        </w:tc>
        <w:tc>
          <w:tcPr>
            <w:tcW w:w="1585" w:type="dxa"/>
            <w:vMerge w:val="continue"/>
          </w:tcPr>
          <w:p>
            <w:pPr>
              <w:spacing w:line="276"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ind w:right="-21" w:rightChars="-10"/>
              <w:rPr>
                <w:rFonts w:asciiTheme="minorEastAsia" w:hAnsiTheme="minorEastAsia" w:eastAsiaTheme="minorEastAsia"/>
                <w:szCs w:val="21"/>
              </w:rPr>
            </w:pPr>
            <w:r>
              <w:rPr>
                <w:rFonts w:hint="eastAsia" w:asciiTheme="minorEastAsia" w:hAnsiTheme="minorEastAsia" w:eastAsiaTheme="minorEastAsia"/>
                <w:szCs w:val="21"/>
              </w:rPr>
              <w:t>组织内的角色/资源、作用、职责和权限</w:t>
            </w:r>
          </w:p>
          <w:p>
            <w:pPr>
              <w:spacing w:line="276" w:lineRule="auto"/>
              <w:rPr>
                <w:rFonts w:asciiTheme="minorEastAsia" w:hAnsiTheme="minorEastAsia" w:eastAsiaTheme="minorEastAsia" w:cstheme="minorEastAsia"/>
                <w:color w:val="000000"/>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Q/E</w:t>
            </w:r>
            <w:r>
              <w:rPr>
                <w:rFonts w:asciiTheme="minorEastAsia" w:hAnsiTheme="minorEastAsia" w:eastAsiaTheme="minorEastAsia"/>
                <w:szCs w:val="21"/>
              </w:rPr>
              <w:t>5.3</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提供岗位职责与任职要求，对岗位职责和任职条件进行了描述。</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负责基础设施及环境；负责产品实现的策划；生产过程控制；放行控制等</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部门环境因素识别及运行</w:t>
            </w:r>
          </w:p>
          <w:p>
            <w:pPr>
              <w:spacing w:line="276" w:lineRule="auto"/>
              <w:jc w:val="left"/>
              <w:rPr>
                <w:rFonts w:cs="宋体" w:asciiTheme="minorEastAsia" w:hAnsiTheme="minorEastAsia" w:eastAsiaTheme="minorEastAsia"/>
                <w:szCs w:val="21"/>
              </w:rPr>
            </w:pPr>
            <w:r>
              <w:rPr>
                <w:rFonts w:hint="eastAsia" w:asciiTheme="minorEastAsia" w:hAnsiTheme="minorEastAsia" w:eastAsiaTheme="minorEastAsia"/>
                <w:szCs w:val="21"/>
              </w:rPr>
              <w:t>职责和权限与手册描述基本一致</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质量目标及其实现的策划/环境目标及其实现的策划</w:t>
            </w:r>
            <w:r>
              <w:rPr>
                <w:rFonts w:asciiTheme="minorEastAsia" w:hAnsiTheme="minorEastAsia" w:eastAsiaTheme="minorEastAsia"/>
                <w:szCs w:val="21"/>
              </w:rPr>
              <w:t xml:space="preserve"> </w:t>
            </w:r>
          </w:p>
          <w:p>
            <w:pPr>
              <w:spacing w:line="276" w:lineRule="auto"/>
              <w:rPr>
                <w:rFonts w:asciiTheme="minorEastAsia" w:hAnsiTheme="minorEastAsia" w:eastAsiaTheme="minorEastAsia" w:cstheme="minorEastAsia"/>
                <w:color w:val="000000"/>
                <w:szCs w:val="21"/>
              </w:rPr>
            </w:pP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Q/E:6.2</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315" w:firstLineChars="150"/>
              <w:jc w:val="left"/>
              <w:rPr>
                <w:rFonts w:cs="宋体" w:asciiTheme="minorEastAsia" w:hAnsiTheme="minorEastAsia" w:eastAsiaTheme="minorEastAsia"/>
                <w:szCs w:val="21"/>
              </w:rPr>
            </w:pPr>
            <w:r>
              <w:rPr>
                <w:rFonts w:hint="eastAsia" w:cs="宋体" w:asciiTheme="minorEastAsia" w:hAnsiTheme="minorEastAsia" w:eastAsiaTheme="minorEastAsia"/>
                <w:szCs w:val="21"/>
              </w:rPr>
              <w:t>生产部根据公司的总目标，制订了本部门的管理目标</w:t>
            </w:r>
          </w:p>
          <w:p>
            <w:pPr>
              <w:spacing w:line="27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生产任务完成率100%</w:t>
            </w:r>
          </w:p>
          <w:p>
            <w:pPr>
              <w:spacing w:line="27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产品出厂合格率100%</w:t>
            </w:r>
          </w:p>
          <w:p>
            <w:pPr>
              <w:spacing w:line="27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产品一次交检合格率98%以上</w:t>
            </w:r>
          </w:p>
          <w:p>
            <w:pPr>
              <w:spacing w:line="27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监视和测量设备检定完成100%</w:t>
            </w:r>
          </w:p>
          <w:p>
            <w:pPr>
              <w:spacing w:line="27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 xml:space="preserve">固体废物100％分类                 </w:t>
            </w:r>
          </w:p>
          <w:p>
            <w:pPr>
              <w:spacing w:line="27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火灾事故发生率为零</w:t>
            </w:r>
          </w:p>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查见目标完成情况考核记录，目标已完成</w:t>
            </w:r>
          </w:p>
          <w:p>
            <w:pPr>
              <w:spacing w:line="276" w:lineRule="auto"/>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查见“环境管理目标及管理方案”检查记录</w:t>
            </w:r>
            <w:r>
              <w:rPr>
                <w:rFonts w:hint="eastAsia" w:cs="宋体" w:asciiTheme="minorEastAsia" w:hAnsiTheme="minorEastAsia" w:eastAsiaTheme="minorEastAsia"/>
                <w:szCs w:val="21"/>
              </w:rPr>
              <w:t>，</w:t>
            </w:r>
            <w:r>
              <w:rPr>
                <w:rFonts w:hint="eastAsia" w:asciiTheme="minorEastAsia" w:hAnsiTheme="minorEastAsia" w:eastAsiaTheme="minorEastAsia"/>
                <w:szCs w:val="21"/>
              </w:rPr>
              <w:t>目前管理方案完成情况良好。</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rPr>
            </w:pPr>
            <w:r>
              <w:rPr>
                <w:rFonts w:hint="eastAsia" w:ascii="宋体" w:hAnsi="宋体"/>
                <w:szCs w:val="21"/>
              </w:rPr>
              <w:t>环境因素识别</w:t>
            </w:r>
          </w:p>
        </w:tc>
        <w:tc>
          <w:tcPr>
            <w:tcW w:w="960" w:type="dxa"/>
          </w:tcPr>
          <w:p>
            <w:pPr>
              <w:tabs>
                <w:tab w:val="left" w:pos="7380"/>
              </w:tabs>
              <w:rPr>
                <w:rFonts w:ascii="宋体" w:hAnsi="宋体"/>
                <w:szCs w:val="21"/>
              </w:rPr>
            </w:pPr>
            <w:r>
              <w:rPr>
                <w:rFonts w:hint="eastAsia" w:ascii="宋体" w:hAnsi="宋体"/>
                <w:szCs w:val="21"/>
              </w:rPr>
              <w:t>E:6.1.2</w:t>
            </w:r>
          </w:p>
        </w:tc>
        <w:tc>
          <w:tcPr>
            <w:tcW w:w="10004" w:type="dxa"/>
          </w:tcPr>
          <w:p>
            <w:pPr>
              <w:tabs>
                <w:tab w:val="left" w:pos="7380"/>
              </w:tabs>
              <w:rPr>
                <w:rFonts w:ascii="宋体" w:hAnsi="宋体"/>
                <w:szCs w:val="21"/>
              </w:rPr>
            </w:pPr>
            <w:r>
              <w:rPr>
                <w:rFonts w:hint="eastAsia" w:ascii="宋体" w:hAnsi="宋体"/>
                <w:szCs w:val="21"/>
              </w:rPr>
              <w:t>提供了</w:t>
            </w:r>
            <w:r>
              <w:rPr>
                <w:rFonts w:hint="eastAsia"/>
                <w:szCs w:val="21"/>
              </w:rPr>
              <w:t>《环境因素识别及评价控制程序》</w:t>
            </w:r>
            <w:r>
              <w:rPr>
                <w:rFonts w:hint="eastAsia" w:ascii="宋体" w:hAnsi="宋体"/>
                <w:szCs w:val="21"/>
              </w:rPr>
              <w:t xml:space="preserve">和《重要环境因素清单》 </w:t>
            </w:r>
          </w:p>
          <w:p>
            <w:pPr>
              <w:tabs>
                <w:tab w:val="left" w:pos="7380"/>
              </w:tabs>
              <w:rPr>
                <w:rFonts w:ascii="宋体" w:hAnsi="宋体"/>
                <w:szCs w:val="21"/>
              </w:rPr>
            </w:pPr>
            <w:r>
              <w:rPr>
                <w:rFonts w:hint="eastAsia" w:ascii="宋体" w:hAnsi="宋体"/>
                <w:szCs w:val="21"/>
              </w:rPr>
              <w:t xml:space="preserve">识别环境因素时考虑了生命周期的观点、三种时态、三种状态等方面，运用了评分法评价了环境因素并确定了重要环境因素。 </w:t>
            </w:r>
          </w:p>
          <w:p>
            <w:pPr>
              <w:tabs>
                <w:tab w:val="left" w:pos="7380"/>
              </w:tabs>
              <w:rPr>
                <w:rFonts w:ascii="宋体" w:hAnsi="宋体"/>
                <w:szCs w:val="21"/>
              </w:rPr>
            </w:pPr>
            <w:r>
              <w:rPr>
                <w:rFonts w:hint="eastAsia" w:ascii="宋体" w:hAnsi="宋体"/>
                <w:szCs w:val="21"/>
              </w:rPr>
              <w:t>重要环境因素：</w:t>
            </w:r>
            <w:r>
              <w:rPr>
                <w:rFonts w:hint="eastAsia"/>
                <w:szCs w:val="21"/>
              </w:rPr>
              <w:t>固体废弃物排放，火灾、噪声排放</w:t>
            </w:r>
          </w:p>
          <w:p>
            <w:pPr>
              <w:tabs>
                <w:tab w:val="left" w:pos="7380"/>
              </w:tabs>
              <w:rPr>
                <w:rFonts w:ascii="宋体" w:hAnsi="宋体"/>
                <w:szCs w:val="21"/>
              </w:rPr>
            </w:pPr>
            <w:r>
              <w:rPr>
                <w:rFonts w:hint="eastAsia" w:ascii="宋体" w:hAnsi="宋体"/>
                <w:szCs w:val="21"/>
              </w:rPr>
              <w:t>环境因素识别、评价准确。</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设施设备管理</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7.1.3</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现主要生产、质检人员15余人左右，生产车间2000平米，仓库：700平米，提供了《设备清单》，记录了设备名称、型号、数量等内容。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抽设备清单：</w:t>
            </w:r>
            <w:r>
              <w:rPr>
                <w:rFonts w:hint="eastAsia" w:ascii="宋体" w:hAnsi="宋体"/>
                <w:color w:val="000000"/>
                <w:spacing w:val="-10"/>
                <w:sz w:val="20"/>
              </w:rPr>
              <w:t>冲床、旋铆机、激光打标机、打包机、台钻及手工工具</w:t>
            </w:r>
            <w:r>
              <w:rPr>
                <w:rFonts w:hint="eastAsia" w:asciiTheme="minorEastAsia" w:hAnsiTheme="minorEastAsia" w:eastAsiaTheme="minorEastAsia" w:cstheme="minorEastAsia"/>
                <w:szCs w:val="21"/>
              </w:rPr>
              <w:t>、地牛、电脑、打印机等，基本能满足服务需要。设备状态良好。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主要办公设备有台式电脑、打印机等</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设备简单</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使用人下班前将设备及办公地进行清洁</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上班时对设备状态进行检查后作业</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无记录</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特种设备：货梯1部，检验报告在有效期内，具体见附件。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设备管理符合要求。</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监视和测量资源</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7.1.5</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提供了《监视和测量设备清单》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检测设备：</w:t>
            </w:r>
            <w:r>
              <w:rPr>
                <w:rFonts w:hint="eastAsia" w:ascii="宋体" w:hAnsi="宋体"/>
              </w:rPr>
              <w:t>盐雾测试机、洛氏硬度计、拉力机、</w:t>
            </w:r>
            <w:r>
              <w:rPr>
                <w:rFonts w:hint="eastAsia"/>
              </w:rPr>
              <w:t>游标卡尺</w:t>
            </w:r>
            <w:r>
              <w:rPr>
                <w:rFonts w:hint="eastAsia" w:ascii="宋体" w:hAnsi="宋体"/>
              </w:rPr>
              <w:t>、数显扭力扳手</w:t>
            </w:r>
            <w:r>
              <w:rPr>
                <w:rFonts w:hint="eastAsia" w:asciiTheme="minorEastAsia" w:hAnsiTheme="minorEastAsia" w:eastAsiaTheme="minorEastAsia" w:cstheme="minorEastAsia"/>
                <w:szCs w:val="21"/>
              </w:rPr>
              <w:t>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提供了计量器具的检定证书</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            规格型号     校准日期</w:t>
            </w:r>
          </w:p>
          <w:p>
            <w:pPr>
              <w:rPr>
                <w:rFonts w:hint="eastAsia" w:asciiTheme="minorEastAsia" w:hAnsiTheme="minorEastAsia" w:eastAsiaTheme="minorEastAsia" w:cstheme="minorEastAsia"/>
                <w:szCs w:val="21"/>
                <w:lang w:eastAsia="zh-CN"/>
              </w:rPr>
            </w:pPr>
            <w:r>
              <w:rPr>
                <w:rFonts w:hint="eastAsia" w:ascii="宋体" w:hAnsi="宋体"/>
              </w:rPr>
              <w:t>盐雾测试机</w:t>
            </w:r>
            <w:r>
              <w:rPr>
                <w:rFonts w:hint="eastAsia" w:asciiTheme="minorEastAsia" w:hAnsiTheme="minorEastAsia" w:eastAsiaTheme="minorEastAsia" w:cstheme="minorEastAsia"/>
                <w:szCs w:val="21"/>
              </w:rPr>
              <w:t xml:space="preserve">          LX-60A       </w:t>
            </w:r>
            <w:r>
              <w:rPr>
                <w:rFonts w:hint="eastAsia" w:asciiTheme="minorEastAsia" w:hAnsiTheme="minorEastAsia" w:eastAsiaTheme="minorEastAsia" w:cstheme="minorEastAsia"/>
                <w:szCs w:val="21"/>
                <w:lang w:eastAsia="zh-CN"/>
              </w:rPr>
              <w:t>2022年2月19日</w:t>
            </w:r>
          </w:p>
          <w:p>
            <w:pPr>
              <w:rPr>
                <w:rFonts w:hint="eastAsia" w:asciiTheme="minorEastAsia" w:hAnsiTheme="minorEastAsia" w:eastAsiaTheme="minorEastAsia" w:cstheme="minorEastAsia"/>
                <w:szCs w:val="21"/>
                <w:lang w:eastAsia="zh-CN"/>
              </w:rPr>
            </w:pPr>
            <w:r>
              <w:rPr>
                <w:rFonts w:hint="eastAsia" w:ascii="宋体" w:hAnsi="宋体"/>
              </w:rPr>
              <w:t>洛氏硬度计</w:t>
            </w:r>
            <w:r>
              <w:rPr>
                <w:rFonts w:hint="eastAsia" w:asciiTheme="minorEastAsia" w:hAnsiTheme="minorEastAsia" w:eastAsiaTheme="minorEastAsia" w:cstheme="minorEastAsia"/>
                <w:szCs w:val="21"/>
              </w:rPr>
              <w:t xml:space="preserve">          HR-150A      </w:t>
            </w:r>
            <w:r>
              <w:rPr>
                <w:rFonts w:hint="eastAsia" w:asciiTheme="minorEastAsia" w:hAnsiTheme="minorEastAsia" w:eastAsiaTheme="minorEastAsia" w:cstheme="minorEastAsia"/>
                <w:szCs w:val="21"/>
                <w:lang w:eastAsia="zh-CN"/>
              </w:rPr>
              <w:t>2022年2月19日</w:t>
            </w:r>
          </w:p>
          <w:p>
            <w:pPr>
              <w:rPr>
                <w:rFonts w:hint="eastAsia" w:ascii="宋体" w:hAnsi="宋体" w:eastAsia="宋体"/>
                <w:lang w:eastAsia="zh-CN"/>
              </w:rPr>
            </w:pPr>
            <w:r>
              <w:rPr>
                <w:rFonts w:hint="eastAsia" w:ascii="宋体" w:hAnsi="宋体"/>
              </w:rPr>
              <w:t xml:space="preserve">拉力机              LX-1023      </w:t>
            </w:r>
            <w:r>
              <w:rPr>
                <w:rFonts w:hint="eastAsia" w:asciiTheme="minorEastAsia" w:hAnsiTheme="minorEastAsia" w:eastAsiaTheme="minorEastAsia" w:cstheme="minorEastAsia"/>
                <w:szCs w:val="21"/>
                <w:lang w:eastAsia="zh-CN"/>
              </w:rPr>
              <w:t>2022年2月19日</w:t>
            </w:r>
          </w:p>
          <w:p>
            <w:pPr>
              <w:rPr>
                <w:rFonts w:hint="eastAsia" w:ascii="宋体" w:hAnsi="宋体" w:eastAsia="宋体"/>
                <w:lang w:eastAsia="zh-CN"/>
              </w:rPr>
            </w:pPr>
            <w:r>
              <w:rPr>
                <w:rFonts w:hint="eastAsia" w:ascii="宋体" w:hAnsi="宋体"/>
              </w:rPr>
              <w:t xml:space="preserve">游标卡尺            0-200        </w:t>
            </w:r>
            <w:r>
              <w:rPr>
                <w:rFonts w:hint="eastAsia" w:ascii="宋体" w:hAnsi="宋体"/>
                <w:lang w:eastAsia="zh-CN"/>
              </w:rPr>
              <w:t>2022年2月19日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检定单位:深圳华科计量检测技术有限公司</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监视和测量用软件均为设备自带，设备校准时同事校准，版本升级时设备返厂。</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rPr>
            </w:pPr>
            <w:r>
              <w:rPr>
                <w:rFonts w:hint="eastAsia" w:ascii="宋体" w:hAnsi="宋体"/>
                <w:szCs w:val="21"/>
              </w:rPr>
              <w:t>环境运行策划和控制</w:t>
            </w:r>
          </w:p>
        </w:tc>
        <w:tc>
          <w:tcPr>
            <w:tcW w:w="960" w:type="dxa"/>
          </w:tcPr>
          <w:p>
            <w:pPr>
              <w:tabs>
                <w:tab w:val="left" w:pos="7380"/>
              </w:tabs>
              <w:rPr>
                <w:rFonts w:ascii="宋体" w:hAnsi="宋体"/>
                <w:szCs w:val="21"/>
              </w:rPr>
            </w:pPr>
            <w:r>
              <w:rPr>
                <w:rFonts w:hint="eastAsia" w:ascii="宋体" w:hAnsi="宋体"/>
                <w:szCs w:val="21"/>
              </w:rPr>
              <w:t>E:8.1</w:t>
            </w:r>
          </w:p>
          <w:p>
            <w:pPr>
              <w:tabs>
                <w:tab w:val="left" w:pos="7380"/>
              </w:tabs>
              <w:rPr>
                <w:rFonts w:ascii="宋体" w:hAnsi="宋体"/>
                <w:b/>
                <w:szCs w:val="21"/>
              </w:rPr>
            </w:pPr>
          </w:p>
        </w:tc>
        <w:tc>
          <w:tcPr>
            <w:tcW w:w="10004" w:type="dxa"/>
          </w:tcPr>
          <w:p>
            <w:pPr>
              <w:spacing w:line="360" w:lineRule="exact"/>
              <w:jc w:val="left"/>
              <w:rPr>
                <w:rFonts w:ascii="宋体" w:hAnsi="宋体"/>
                <w:szCs w:val="21"/>
              </w:rPr>
            </w:pPr>
            <w:r>
              <w:rPr>
                <w:rFonts w:hint="eastAsia" w:ascii="宋体" w:hAnsi="宋体"/>
                <w:szCs w:val="21"/>
              </w:rPr>
              <w:t>识别的环境因素因素运行控制情况如下：</w:t>
            </w:r>
          </w:p>
          <w:p>
            <w:pPr>
              <w:spacing w:line="360" w:lineRule="exact"/>
              <w:jc w:val="left"/>
              <w:rPr>
                <w:rFonts w:ascii="宋体" w:hAnsi="宋体"/>
                <w:szCs w:val="21"/>
              </w:rPr>
            </w:pPr>
            <w:r>
              <w:rPr>
                <w:rFonts w:hint="eastAsia" w:ascii="宋体" w:hAnsi="宋体"/>
                <w:szCs w:val="21"/>
              </w:rPr>
              <w:t>1、办公生活污水控制：经化粪池后排放</w:t>
            </w:r>
          </w:p>
          <w:p>
            <w:pPr>
              <w:spacing w:line="360" w:lineRule="exact"/>
              <w:jc w:val="left"/>
              <w:rPr>
                <w:rFonts w:ascii="宋体" w:hAnsi="宋体"/>
                <w:szCs w:val="21"/>
              </w:rPr>
            </w:pPr>
            <w:r>
              <w:rPr>
                <w:rFonts w:hint="eastAsia" w:ascii="宋体" w:hAnsi="宋体"/>
                <w:szCs w:val="21"/>
              </w:rPr>
              <w:t>2、噪声控制：无明显噪声(噪声主要来源设备运行产生的噪声，环境影响很小，无忽略不计)。</w:t>
            </w:r>
          </w:p>
          <w:p>
            <w:pPr>
              <w:spacing w:line="360" w:lineRule="exact"/>
              <w:jc w:val="left"/>
              <w:rPr>
                <w:rFonts w:ascii="宋体" w:hAnsi="宋体"/>
                <w:szCs w:val="21"/>
              </w:rPr>
            </w:pPr>
            <w:r>
              <w:rPr>
                <w:rFonts w:hint="eastAsia" w:ascii="宋体" w:hAnsi="宋体"/>
                <w:szCs w:val="21"/>
              </w:rPr>
              <w:t>3、固废控制：综合部有对办公产生的固体废弃物分类处理，按“可回收”和“不可回收”（如废硒鼓、灯管等），可回收放入“可回收”区，由综合部定期统一处理，生活垃圾统一集中到指定垃圾桶内。</w:t>
            </w:r>
          </w:p>
          <w:p>
            <w:pPr>
              <w:spacing w:line="360" w:lineRule="exact"/>
              <w:jc w:val="left"/>
              <w:rPr>
                <w:rFonts w:ascii="宋体" w:hAnsi="宋体"/>
                <w:szCs w:val="21"/>
              </w:rPr>
            </w:pPr>
            <w:r>
              <w:rPr>
                <w:rFonts w:hint="eastAsia" w:ascii="宋体" w:hAnsi="宋体"/>
                <w:szCs w:val="21"/>
              </w:rPr>
              <w:t>4、节能降耗：企业有建立节约用水、用电制度，尽可能减少资源能源的消耗，要求工作人员节约使用纸张（非重要文件要求双面打印/复印），办公设备、设施有按规定要求使用，杜绝非正常使用，要求不得使用大功率电器。</w:t>
            </w:r>
          </w:p>
          <w:p>
            <w:pPr>
              <w:spacing w:line="360" w:lineRule="exact"/>
              <w:jc w:val="left"/>
              <w:rPr>
                <w:rFonts w:ascii="宋体" w:hAnsi="宋体"/>
                <w:szCs w:val="21"/>
              </w:rPr>
            </w:pPr>
            <w:r>
              <w:rPr>
                <w:rFonts w:hint="eastAsia" w:ascii="宋体" w:hAnsi="宋体"/>
                <w:szCs w:val="21"/>
              </w:rPr>
              <w:t>5火灾控制：办公区域配备了烟感，灭火器，有效。未发现明显火灾和安全用电隐患。公司组织综合部员工进行了安全教育，主要学习内容有交通安全知识、防火知识、安全用电知识。提高员工安全意识，防止危险发生。</w:t>
            </w:r>
          </w:p>
          <w:p>
            <w:pPr>
              <w:spacing w:line="360" w:lineRule="exact"/>
              <w:ind w:right="13" w:rightChars="6" w:firstLine="210" w:firstLineChars="100"/>
              <w:rPr>
                <w:rFonts w:ascii="宋体" w:hAnsi="宋体"/>
                <w:szCs w:val="21"/>
              </w:rPr>
            </w:pPr>
            <w:r>
              <w:rPr>
                <w:rFonts w:hint="eastAsia" w:ascii="宋体" w:hAnsi="宋体"/>
                <w:szCs w:val="21"/>
              </w:rPr>
              <w:t>运行控制基本有效</w:t>
            </w:r>
            <w:r>
              <w:rPr>
                <w:rFonts w:ascii="宋体" w:hAnsi="宋体"/>
                <w:szCs w:val="21"/>
              </w:rPr>
              <w:t xml:space="preserve"> </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应急准备和响应</w:t>
            </w:r>
          </w:p>
          <w:p>
            <w:pPr>
              <w:spacing w:line="276" w:lineRule="auto"/>
              <w:rPr>
                <w:rFonts w:asciiTheme="minorEastAsia" w:hAnsiTheme="minorEastAsia" w:eastAsiaTheme="minorEastAsia" w:cstheme="minorEastAsia"/>
                <w:szCs w:val="21"/>
              </w:rPr>
            </w:pPr>
          </w:p>
        </w:tc>
        <w:tc>
          <w:tcPr>
            <w:tcW w:w="960" w:type="dxa"/>
            <w:vAlign w:val="center"/>
          </w:tcPr>
          <w:p>
            <w:pPr>
              <w:spacing w:line="276" w:lineRule="auto"/>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E:8.2</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rPr>
                <w:rFonts w:asciiTheme="minorEastAsia" w:hAnsiTheme="minorEastAsia" w:eastAsiaTheme="minorEastAsia"/>
                <w:szCs w:val="21"/>
              </w:rPr>
            </w:pPr>
            <w:r>
              <w:rPr>
                <w:rFonts w:cs="宋体" w:asciiTheme="minorEastAsia" w:hAnsiTheme="minorEastAsia" w:eastAsiaTheme="minorEastAsia"/>
                <w:kern w:val="0"/>
                <w:szCs w:val="21"/>
              </w:rPr>
              <w:t>1</w:t>
            </w:r>
            <w:r>
              <w:rPr>
                <w:rFonts w:hint="eastAsia" w:cs="宋体" w:asciiTheme="minorEastAsia" w:hAnsiTheme="minorEastAsia" w:eastAsiaTheme="minorEastAsia"/>
                <w:kern w:val="0"/>
                <w:szCs w:val="21"/>
              </w:rPr>
              <w:t>、提供的</w:t>
            </w:r>
            <w:r>
              <w:rPr>
                <w:rFonts w:hint="eastAsia" w:asciiTheme="minorEastAsia" w:hAnsiTheme="minorEastAsia" w:eastAsiaTheme="minorEastAsia"/>
                <w:kern w:val="0"/>
                <w:szCs w:val="21"/>
              </w:rPr>
              <w:t>《应急准备和响应控制程序》规定了可能发生的环境应急救援和处理程序和要求，综合部负责</w:t>
            </w:r>
            <w:r>
              <w:rPr>
                <w:rFonts w:hint="eastAsia" w:asciiTheme="minorEastAsia" w:hAnsiTheme="minorEastAsia" w:eastAsiaTheme="minorEastAsia"/>
                <w:szCs w:val="21"/>
              </w:rPr>
              <w:t>应急准备和响应，</w:t>
            </w:r>
            <w:r>
              <w:rPr>
                <w:rFonts w:hint="eastAsia" w:asciiTheme="minorEastAsia" w:hAnsiTheme="minorEastAsia" w:eastAsiaTheme="minorEastAsia"/>
                <w:kern w:val="0"/>
                <w:szCs w:val="21"/>
              </w:rPr>
              <w:t>生产部、综合部协同有关部门协调应急演习的有关工作。</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kern w:val="0"/>
                <w:szCs w:val="21"/>
              </w:rPr>
              <w:t>2、 企业</w:t>
            </w:r>
            <w:r>
              <w:rPr>
                <w:rFonts w:hint="eastAsia" w:asciiTheme="minorEastAsia" w:hAnsiTheme="minorEastAsia" w:eastAsiaTheme="minorEastAsia"/>
                <w:color w:val="000000"/>
                <w:szCs w:val="21"/>
              </w:rPr>
              <w:t>近期于202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年</w:t>
            </w:r>
            <w:r>
              <w:rPr>
                <w:rFonts w:hint="eastAsia" w:asciiTheme="minorEastAsia" w:hAnsiTheme="minorEastAsia" w:eastAsiaTheme="minorEastAsia"/>
                <w:color w:val="000000"/>
                <w:szCs w:val="21"/>
                <w:lang w:val="en-US" w:eastAsia="zh-CN"/>
              </w:rPr>
              <w:t>9</w:t>
            </w:r>
            <w:r>
              <w:rPr>
                <w:rFonts w:hint="eastAsia" w:asciiTheme="minorEastAsia" w:hAnsiTheme="minorEastAsia" w:eastAsiaTheme="minorEastAsia"/>
                <w:color w:val="000000"/>
                <w:szCs w:val="21"/>
              </w:rPr>
              <w:t>月26日组织实施了一次火灾应急预案演练，</w:t>
            </w:r>
            <w:r>
              <w:rPr>
                <w:rFonts w:asciiTheme="minorEastAsia" w:hAnsiTheme="minorEastAsia" w:eastAsiaTheme="minorEastAsia"/>
                <w:color w:val="000000"/>
                <w:szCs w:val="21"/>
              </w:rPr>
              <w:t xml:space="preserve"> </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抽查202</w:t>
            </w:r>
            <w:r>
              <w:rPr>
                <w:rFonts w:hint="eastAsia" w:asciiTheme="minorEastAsia" w:hAnsiTheme="minorEastAsia" w:eastAsiaTheme="minorEastAsia"/>
                <w:color w:val="000000"/>
                <w:szCs w:val="21"/>
                <w:lang w:val="en-US" w:eastAsia="zh-CN"/>
              </w:rPr>
              <w:t>1</w:t>
            </w:r>
            <w:r>
              <w:rPr>
                <w:rFonts w:hint="eastAsia" w:asciiTheme="minorEastAsia" w:hAnsiTheme="minorEastAsia" w:eastAsiaTheme="minorEastAsia"/>
                <w:color w:val="000000"/>
                <w:szCs w:val="21"/>
              </w:rPr>
              <w:t>年</w:t>
            </w:r>
            <w:r>
              <w:rPr>
                <w:rFonts w:hint="eastAsia" w:asciiTheme="minorEastAsia" w:hAnsiTheme="minorEastAsia" w:eastAsiaTheme="minorEastAsia"/>
                <w:color w:val="000000"/>
                <w:szCs w:val="21"/>
                <w:lang w:val="en-US" w:eastAsia="zh-CN"/>
              </w:rPr>
              <w:t>9</w:t>
            </w:r>
            <w:r>
              <w:rPr>
                <w:rFonts w:hint="eastAsia" w:asciiTheme="minorEastAsia" w:hAnsiTheme="minorEastAsia" w:eastAsiaTheme="minorEastAsia"/>
                <w:color w:val="000000"/>
                <w:szCs w:val="21"/>
              </w:rPr>
              <w:t xml:space="preserve">月26日“火灾消防演习” </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地点：综合部    参加人员：全体员工</w:t>
            </w:r>
          </w:p>
          <w:p>
            <w:pPr>
              <w:spacing w:line="276"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火灾消防演习记录”记录了时间、地点、参加人员、演习过程综述、演练/总结效果评估等，演练完成后并有对演练效果进行总结评估。</w:t>
            </w:r>
          </w:p>
          <w:p>
            <w:r>
              <w:t>应急能力评价：</w:t>
            </w:r>
            <w:r>
              <w:rPr>
                <w:rFonts w:hint="eastAsia"/>
              </w:rPr>
              <w:t>参加人员基本了解，掌握了灭火器的使用方法和现场撤离路线，掌握火灾时的逃生方法</w:t>
            </w:r>
          </w:p>
          <w:p>
            <w:r>
              <w:t>演习过程表明，应急预案中设定的方法可以控制应急情况下的环境污染，将人身伤亡可能降到最低</w:t>
            </w:r>
          </w:p>
          <w:p>
            <w:pPr>
              <w:spacing w:line="276" w:lineRule="auto"/>
              <w:rPr>
                <w:rFonts w:asciiTheme="minorEastAsia" w:hAnsiTheme="minorEastAsia" w:eastAsiaTheme="minorEastAsia"/>
                <w:szCs w:val="21"/>
              </w:rPr>
            </w:pPr>
            <w:r>
              <w:rPr>
                <w:rFonts w:hint="eastAsia" w:asciiTheme="minorEastAsia" w:hAnsiTheme="minorEastAsia" w:eastAsiaTheme="minorEastAsia"/>
                <w:color w:val="000000"/>
                <w:szCs w:val="21"/>
              </w:rPr>
              <w:t>存在问题及整改措施：</w:t>
            </w:r>
            <w:r>
              <w:rPr>
                <w:rFonts w:hint="eastAsia" w:ascii="宋体" w:hAnsi="宋体" w:cs="宋体"/>
                <w:bCs/>
              </w:rPr>
              <w:t>义务消防员应经常检查火灾隐患，发现问题及时整改，今后应定期进行火灾应急演练。争取得到周边单位的配合和参与。以提高公司员工的消防安全意识</w:t>
            </w:r>
            <w:r>
              <w:rPr>
                <w:rFonts w:hint="eastAsia" w:asciiTheme="minorEastAsia" w:hAnsiTheme="minorEastAsia" w:eastAsiaTheme="minorEastAsia"/>
                <w:szCs w:val="21"/>
              </w:rPr>
              <w:t>。</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记录：丁红梅</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策划</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8.1</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企业根据客户要求对生产进行策划：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1、确定产品和服务的要求：企业参考GA 68-2019警用防刺服；GA 810-2008 自由伸缩式枪纲；GA 887-2010公安单警装备  警用水壶GB/T2423.17-2008《电子电工产品环境试验 第2部分：试验方法  试验Ka：盐雾》</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Q/KJ102-2020 《金属手铐》等标准，但产品要求高于标准要求。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2、制定目标，目标基本合理、可测量、可达到</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3、流程：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原材料/配件检验入库—下料（适用时）--机加工（适用时）--表面处理（适用时）--装配—调整—标刻—表面清洁--检验—包装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客户接触--合同评审--签订合同--客户付款--入帐--采购--客户提货--验收</w:t>
            </w:r>
          </w:p>
          <w:p>
            <w:pPr>
              <w:pStyle w:val="16"/>
              <w:numPr>
                <w:ilvl w:val="0"/>
                <w:numId w:val="4"/>
              </w:numPr>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策划了工艺卡、图纸、检验标准等作业指导文件，及产品检验记录等记录。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所需资源：配备了冲床、旋铆机、激光打标机、打包机、台钻及手工工具；电脑、打印机、网络、办公桌椅等设施；盐雾测试机、洛氏硬度计、拉力机、游标卡尺、数显扭力扳手等检测设备，人员经过培训上岗等。基本满足工作需要。资源基本满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highlight w:val="lightGray"/>
              </w:rPr>
              <w:t>、</w:t>
            </w:r>
            <w:r>
              <w:rPr>
                <w:rFonts w:hint="eastAsia" w:asciiTheme="minorEastAsia" w:hAnsiTheme="minorEastAsia" w:eastAsiaTheme="minorEastAsia" w:cstheme="minorEastAsia"/>
                <w:szCs w:val="21"/>
              </w:rPr>
              <w:t>遵照岗位职责、工艺流程、操作规程、产品检验规程等作业指导文件实施过程控制。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产品通过检验来对产品实现过程进行控制。生产过程中由目负责人组织进行检查，项目完成后由客户进行验收，符合要求</w:t>
            </w:r>
          </w:p>
          <w:p>
            <w:pPr>
              <w:pStyle w:val="16"/>
              <w:numPr>
                <w:ilvl w:val="0"/>
                <w:numId w:val="5"/>
              </w:numPr>
              <w:ind w:firstLineChars="0"/>
              <w:rPr>
                <w:rFonts w:asciiTheme="minorEastAsia" w:hAnsiTheme="minorEastAsia" w:eastAsiaTheme="minorEastAsia" w:cstheme="minorEastAsia"/>
              </w:rPr>
            </w:pPr>
            <w:r>
              <w:rPr>
                <w:rFonts w:hint="eastAsia" w:asciiTheme="minorEastAsia" w:hAnsiTheme="minorEastAsia" w:eastAsiaTheme="minorEastAsia" w:cstheme="minorEastAsia"/>
              </w:rPr>
              <w:t>策划了生产通知单、产品检验记录等，记录均保期3年。由生产部统一汇总交综合部存储。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8、通过识别与评价对公司目标和战略方向相关，影响其实现质量管理体系预期结果的各种内外部环境因素，有效应对风险和机遇。</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9、外包过程：表面处理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10、策划适合组织体系运行需要，未发生更改，策划情况符合标准要求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产品实现策划的输出的信息充分，输出内容满足标准要求和企业实际。</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ind w:right="-164" w:rightChars="-78"/>
              <w:jc w:val="left"/>
              <w:rPr>
                <w:rFonts w:asciiTheme="minorEastAsia" w:hAnsiTheme="minorEastAsia" w:eastAsiaTheme="minorEastAsia"/>
                <w:szCs w:val="21"/>
              </w:rPr>
            </w:pPr>
            <w:r>
              <w:rPr>
                <w:rFonts w:hint="eastAsia" w:asciiTheme="minorEastAsia" w:hAnsiTheme="minorEastAsia" w:eastAsiaTheme="minorEastAsia"/>
                <w:szCs w:val="21"/>
              </w:rPr>
              <w:t>产品和服务要求的确定/评审</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顾客沟通</w:t>
            </w:r>
          </w:p>
          <w:p>
            <w:pPr>
              <w:spacing w:line="276" w:lineRule="auto"/>
              <w:rPr>
                <w:rFonts w:asciiTheme="minorEastAsia" w:hAnsiTheme="minorEastAsia" w:eastAsiaTheme="minorEastAsia" w:cstheme="minorEastAsia"/>
                <w:color w:val="000000"/>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Q8</w:t>
            </w:r>
            <w:r>
              <w:rPr>
                <w:rFonts w:asciiTheme="minorEastAsia" w:hAnsiTheme="minorEastAsia" w:eastAsiaTheme="minorEastAsia"/>
                <w:szCs w:val="21"/>
              </w:rPr>
              <w:t>.2.</w:t>
            </w:r>
            <w:r>
              <w:rPr>
                <w:rFonts w:hint="eastAsia" w:asciiTheme="minorEastAsia" w:hAnsiTheme="minorEastAsia" w:eastAsiaTheme="minorEastAsia"/>
                <w:szCs w:val="21"/>
              </w:rPr>
              <w:t>1-</w:t>
            </w:r>
          </w:p>
          <w:p>
            <w:pPr>
              <w:spacing w:line="276"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.2.</w:t>
            </w:r>
            <w:r>
              <w:rPr>
                <w:rFonts w:hint="eastAsia" w:asciiTheme="minorEastAsia" w:hAnsiTheme="minorEastAsia" w:eastAsiaTheme="minorEastAsia"/>
                <w:szCs w:val="21"/>
              </w:rPr>
              <w:t>3</w:t>
            </w:r>
          </w:p>
          <w:p>
            <w:pPr>
              <w:spacing w:line="276" w:lineRule="auto"/>
              <w:rPr>
                <w:rFonts w:asciiTheme="minorEastAsia" w:hAnsiTheme="minorEastAsia" w:eastAsiaTheme="minorEastAsia" w:cstheme="minorEastAsia"/>
                <w:szCs w:val="21"/>
              </w:rPr>
            </w:pPr>
          </w:p>
        </w:tc>
        <w:tc>
          <w:tcPr>
            <w:tcW w:w="10004" w:type="dxa"/>
            <w:vAlign w:val="center"/>
          </w:tcPr>
          <w:p>
            <w:pPr>
              <w:autoSpaceDE w:val="0"/>
              <w:spacing w:line="276" w:lineRule="auto"/>
              <w:ind w:right="-105" w:rightChars="-50"/>
              <w:rPr>
                <w:rFonts w:asciiTheme="minorEastAsia" w:hAnsiTheme="minorEastAsia" w:eastAsiaTheme="minorEastAsia"/>
                <w:szCs w:val="21"/>
              </w:rPr>
            </w:pPr>
            <w:r>
              <w:rPr>
                <w:rFonts w:hint="eastAsia" w:asciiTheme="minorEastAsia" w:hAnsiTheme="minorEastAsia" w:eastAsiaTheme="minorEastAsia"/>
                <w:szCs w:val="21"/>
              </w:rPr>
              <w:t>与产品有关要求的确认内容主要包括明确的要求，如产品名称、产品规格、交货期、价格、结算方式等；顾客隐含的要求，顾客虽没有明示，但规定用途或已知预期用途所必须的要求；相关的法律法规要求,如产品质量法、招投标法等；企业规定的附加要求，如价格及付款方式、交付时间和让步承诺等,顾客要求主要通过销售合同的形式体现。</w:t>
            </w:r>
          </w:p>
          <w:p>
            <w:pPr>
              <w:autoSpaceDE w:val="0"/>
              <w:spacing w:line="276" w:lineRule="auto"/>
              <w:ind w:right="-105" w:rightChars="-50"/>
              <w:rPr>
                <w:rFonts w:asciiTheme="minorEastAsia" w:hAnsiTheme="minorEastAsia" w:eastAsiaTheme="minorEastAsia"/>
                <w:szCs w:val="21"/>
              </w:rPr>
            </w:pPr>
          </w:p>
          <w:p>
            <w:pPr>
              <w:spacing w:line="276" w:lineRule="auto"/>
              <w:ind w:right="-107" w:rightChars="-51"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建立售前、售中、售后过程顾客的沟通和联络渠道，及时了解了解相关信息，合同签订前充分了解顾客的需求；合同实施过程中沟通和反馈产品质量、产品交付、运输等问题，与客户保持密切沟通，听取客户反馈的意见和信息，并对顾客反馈问题做出回复和处理，合同完成后，严格履行合同各项售后服务要求。顾客反馈的一般性问题，由销售人员负责解决，不能解决的重大问题，要求生产部及时采取相应的应对措施，并及时报领导进行处理。体系建立实施后，尚未发生严重顾客投诉。</w:t>
            </w:r>
          </w:p>
          <w:p>
            <w:pPr>
              <w:autoSpaceDE w:val="0"/>
              <w:spacing w:line="276" w:lineRule="auto"/>
              <w:ind w:right="-105" w:rightChars="-50" w:firstLine="315" w:firstLineChars="150"/>
              <w:rPr>
                <w:rFonts w:asciiTheme="minorEastAsia" w:hAnsiTheme="minorEastAsia" w:eastAsiaTheme="minorEastAsia"/>
                <w:szCs w:val="21"/>
              </w:rPr>
            </w:pPr>
          </w:p>
          <w:p>
            <w:pPr>
              <w:spacing w:line="276" w:lineRule="auto"/>
              <w:ind w:right="-21" w:rightChars="-10" w:firstLine="315" w:firstLineChars="150"/>
              <w:rPr>
                <w:rFonts w:cs="宋体" w:asciiTheme="minorEastAsia" w:hAnsiTheme="minorEastAsia" w:eastAsiaTheme="minorEastAsia"/>
                <w:szCs w:val="21"/>
              </w:rPr>
            </w:pPr>
            <w:r>
              <w:rPr>
                <w:rFonts w:hint="eastAsia" w:asciiTheme="minorEastAsia" w:hAnsiTheme="minorEastAsia" w:eastAsiaTheme="minorEastAsia"/>
                <w:szCs w:val="21"/>
              </w:rPr>
              <w:t>企业销售合同主要通过招投标、客户介绍等，查见“合同登记表”。</w:t>
            </w:r>
            <w:r>
              <w:rPr>
                <w:rFonts w:hint="eastAsia" w:cs="宋体" w:asciiTheme="minorEastAsia" w:hAnsiTheme="minorEastAsia" w:eastAsiaTheme="minorEastAsia"/>
                <w:szCs w:val="21"/>
              </w:rPr>
              <w:t>生产部负责人介绍，销售合同均为书面的文本形式，一般性的常规合同由生产部相应授权人对意向合同通过签字确认的方式即完成合同，价格、账期、售后年限异常时需报经总经理审批外，其他普通合同业务员自行处理。业务员自行确定：备货周期、是否有现货、价格等是否符合公司报价单要求。</w:t>
            </w:r>
          </w:p>
          <w:p>
            <w:pPr>
              <w:spacing w:line="276" w:lineRule="auto"/>
              <w:ind w:right="-21" w:rightChars="-10" w:firstLine="315" w:firstLineChars="150"/>
              <w:rPr>
                <w:rFonts w:asciiTheme="minorEastAsia" w:hAnsiTheme="minorEastAsia" w:eastAsiaTheme="minorEastAsia"/>
                <w:szCs w:val="21"/>
              </w:rPr>
            </w:pP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查1：</w:t>
            </w:r>
            <w:r>
              <w:rPr>
                <w:rFonts w:hint="eastAsia"/>
                <w:lang w:val="en-US" w:eastAsia="zh-CN"/>
              </w:rPr>
              <w:t>安吉县公安局</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r>
              <w:rPr>
                <w:rFonts w:hint="eastAsia"/>
                <w:lang w:val="en-US" w:eastAsia="zh-CN"/>
              </w:rPr>
              <w:t>安吉县公安局</w:t>
            </w:r>
            <w:r>
              <w:rPr>
                <w:rFonts w:hint="eastAsia" w:cs="宋体" w:asciiTheme="minorEastAsia" w:hAnsiTheme="minorEastAsia" w:eastAsiaTheme="minorEastAsia"/>
                <w:szCs w:val="21"/>
              </w:rPr>
              <w:t>-警务室装备采购项目</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项目编号：</w:t>
            </w:r>
            <w:r>
              <w:rPr>
                <w:rFonts w:hint="eastAsia" w:ascii="宋体" w:hAnsi="宋体" w:eastAsia="宋体"/>
                <w:sz w:val="24"/>
                <w:lang w:val="en-US" w:eastAsia="zh-CN"/>
              </w:rPr>
              <w:t>11N002573144202119415</w:t>
            </w:r>
          </w:p>
          <w:p>
            <w:r>
              <w:rPr>
                <w:rFonts w:hint="eastAsia" w:cs="宋体" w:asciiTheme="minorEastAsia" w:hAnsiTheme="minorEastAsia" w:eastAsiaTheme="minorEastAsia"/>
                <w:szCs w:val="21"/>
              </w:rPr>
              <w:t>产品：</w:t>
            </w:r>
            <w:r>
              <w:rPr>
                <w:rFonts w:hint="eastAsia" w:eastAsia="宋体"/>
                <w:lang w:val="en-US" w:eastAsia="zh-CN"/>
              </w:rPr>
              <w:t>警戒牌</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锁脚器、单警手铐</w:t>
            </w:r>
            <w:r>
              <w:t>等</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写明了质量要求、付款方式、交货时间及地点</w:t>
            </w:r>
            <w:r>
              <w:rPr>
                <w:rFonts w:hint="eastAsia" w:asciiTheme="minorEastAsia" w:hAnsiTheme="minorEastAsia" w:eastAsiaTheme="minorEastAsia"/>
                <w:bCs/>
                <w:szCs w:val="21"/>
              </w:rPr>
              <w:t>等有双方签字盖章。</w:t>
            </w:r>
          </w:p>
          <w:p>
            <w:pPr>
              <w:spacing w:line="276" w:lineRule="auto"/>
              <w:jc w:val="left"/>
              <w:rPr>
                <w:rFonts w:cs="宋体" w:asciiTheme="minorEastAsia" w:hAnsiTheme="minorEastAsia" w:eastAsiaTheme="minorEastAsia"/>
                <w:color w:val="FF0000"/>
                <w:szCs w:val="21"/>
              </w:rPr>
            </w:pPr>
          </w:p>
          <w:p>
            <w:pPr>
              <w:spacing w:line="276" w:lineRule="auto"/>
              <w:jc w:val="left"/>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rPr>
              <w:t>查2：</w:t>
            </w:r>
            <w:r>
              <w:rPr>
                <w:rFonts w:hint="eastAsia" w:cs="宋体" w:asciiTheme="minorEastAsia" w:hAnsiTheme="minorEastAsia" w:eastAsiaTheme="minorEastAsia"/>
                <w:szCs w:val="21"/>
                <w:lang w:val="en-US" w:eastAsia="zh-CN"/>
              </w:rPr>
              <w:t>天津市公安局武清分局，2021年11月29号</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产品：</w:t>
            </w:r>
            <w:r>
              <w:rPr>
                <w:rFonts w:hint="eastAsia" w:cs="宋体" w:asciiTheme="minorEastAsia" w:hAnsiTheme="minorEastAsia" w:eastAsiaTheme="minorEastAsia"/>
                <w:szCs w:val="21"/>
                <w:lang w:val="en-US" w:eastAsia="zh-CN"/>
              </w:rPr>
              <w:t>阻车</w:t>
            </w:r>
            <w:r>
              <w:rPr>
                <w:rFonts w:hint="eastAsia" w:cs="宋体" w:asciiTheme="minorEastAsia" w:hAnsiTheme="minorEastAsia" w:eastAsiaTheme="minorEastAsia"/>
                <w:szCs w:val="21"/>
              </w:rPr>
              <w:t>路障</w:t>
            </w:r>
          </w:p>
          <w:p>
            <w:pPr>
              <w:spacing w:line="276" w:lineRule="auto"/>
              <w:jc w:val="left"/>
              <w:rPr>
                <w:rFonts w:asciiTheme="minorEastAsia" w:hAnsiTheme="minorEastAsia" w:eastAsiaTheme="minorEastAsia"/>
                <w:bCs/>
                <w:szCs w:val="21"/>
              </w:rPr>
            </w:pPr>
            <w:r>
              <w:rPr>
                <w:rFonts w:hint="eastAsia" w:cs="宋体" w:asciiTheme="minorEastAsia" w:hAnsiTheme="minorEastAsia" w:eastAsiaTheme="minorEastAsia"/>
                <w:szCs w:val="21"/>
              </w:rPr>
              <w:t>数量：</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套</w:t>
            </w:r>
          </w:p>
          <w:p>
            <w:pPr>
              <w:spacing w:line="276" w:lineRule="auto"/>
              <w:jc w:val="left"/>
              <w:rPr>
                <w:rFonts w:asciiTheme="minorEastAsia" w:hAnsiTheme="minorEastAsia" w:eastAsiaTheme="minorEastAsia"/>
                <w:bCs/>
                <w:color w:val="000000" w:themeColor="text1"/>
                <w:szCs w:val="21"/>
              </w:rPr>
            </w:pPr>
            <w:r>
              <w:rPr>
                <w:rFonts w:hint="eastAsia" w:cs="宋体" w:asciiTheme="minorEastAsia" w:hAnsiTheme="minorEastAsia" w:eastAsiaTheme="minorEastAsia"/>
                <w:szCs w:val="21"/>
              </w:rPr>
              <w:t>写明了质量要求、</w:t>
            </w:r>
            <w:r>
              <w:rPr>
                <w:rFonts w:hint="eastAsia" w:cs="宋体" w:asciiTheme="minorEastAsia" w:hAnsiTheme="minorEastAsia" w:eastAsiaTheme="minorEastAsia"/>
                <w:color w:val="000000" w:themeColor="text1"/>
                <w:szCs w:val="21"/>
              </w:rPr>
              <w:t>付款方式、交货时间及地点</w:t>
            </w:r>
            <w:r>
              <w:rPr>
                <w:rFonts w:hint="eastAsia" w:asciiTheme="minorEastAsia" w:hAnsiTheme="minorEastAsia" w:eastAsiaTheme="minorEastAsia"/>
                <w:bCs/>
                <w:color w:val="000000" w:themeColor="text1"/>
                <w:szCs w:val="21"/>
              </w:rPr>
              <w:t>等有双方签字盖章。</w:t>
            </w:r>
          </w:p>
          <w:p>
            <w:pPr>
              <w:spacing w:line="276" w:lineRule="auto"/>
              <w:jc w:val="left"/>
              <w:rPr>
                <w:rFonts w:asciiTheme="minorEastAsia" w:hAnsiTheme="minorEastAsia" w:eastAsiaTheme="minorEastAsia"/>
                <w:bCs/>
                <w:color w:val="000000" w:themeColor="text1"/>
                <w:szCs w:val="21"/>
              </w:rPr>
            </w:pPr>
            <w:r>
              <w:rPr>
                <w:rFonts w:hint="eastAsia" w:asciiTheme="minorEastAsia" w:hAnsiTheme="minorEastAsia" w:eastAsiaTheme="minorEastAsia"/>
                <w:bCs/>
                <w:color w:val="000000" w:themeColor="text1"/>
                <w:szCs w:val="21"/>
              </w:rPr>
              <w:t>有双方签字盖章。</w:t>
            </w:r>
          </w:p>
          <w:p/>
          <w:p>
            <w:pPr>
              <w:spacing w:line="276" w:lineRule="auto"/>
              <w:jc w:val="left"/>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rPr>
              <w:t>查3：</w:t>
            </w:r>
            <w:r>
              <w:rPr>
                <w:rFonts w:hint="eastAsia" w:cs="宋体" w:asciiTheme="minorEastAsia" w:hAnsiTheme="minorEastAsia" w:eastAsiaTheme="minorEastAsia"/>
                <w:szCs w:val="21"/>
                <w:lang w:val="en-US" w:eastAsia="zh-CN"/>
              </w:rPr>
              <w:t>陆丰市公安局，2022年1月21号</w:t>
            </w:r>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产品：</w:t>
            </w:r>
            <w:r>
              <w:rPr>
                <w:rFonts w:hint="eastAsia" w:cs="宋体" w:asciiTheme="minorEastAsia" w:hAnsiTheme="minorEastAsia" w:eastAsiaTheme="minorEastAsia"/>
                <w:szCs w:val="21"/>
                <w:lang w:val="en-US" w:eastAsia="zh-CN"/>
              </w:rPr>
              <w:t>验枪筒</w:t>
            </w:r>
          </w:p>
          <w:p>
            <w:pPr>
              <w:spacing w:line="276" w:lineRule="auto"/>
              <w:jc w:val="left"/>
              <w:rPr>
                <w:rFonts w:asciiTheme="minorEastAsia" w:hAnsiTheme="minorEastAsia" w:eastAsiaTheme="minorEastAsia"/>
                <w:bCs/>
                <w:szCs w:val="21"/>
              </w:rPr>
            </w:pPr>
            <w:r>
              <w:rPr>
                <w:rFonts w:hint="eastAsia" w:cs="宋体" w:asciiTheme="minorEastAsia" w:hAnsiTheme="minorEastAsia" w:eastAsiaTheme="minorEastAsia"/>
                <w:szCs w:val="21"/>
              </w:rPr>
              <w:t>数量：</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套</w:t>
            </w:r>
          </w:p>
          <w:p>
            <w:pPr>
              <w:spacing w:line="276" w:lineRule="auto"/>
              <w:jc w:val="left"/>
              <w:rPr>
                <w:rFonts w:asciiTheme="minorEastAsia" w:hAnsiTheme="minorEastAsia" w:eastAsiaTheme="minorEastAsia"/>
                <w:bCs/>
                <w:color w:val="000000" w:themeColor="text1"/>
                <w:szCs w:val="21"/>
              </w:rPr>
            </w:pPr>
            <w:r>
              <w:rPr>
                <w:rFonts w:hint="eastAsia" w:cs="宋体" w:asciiTheme="minorEastAsia" w:hAnsiTheme="minorEastAsia" w:eastAsiaTheme="minorEastAsia"/>
                <w:szCs w:val="21"/>
              </w:rPr>
              <w:t>写明了质量要求、</w:t>
            </w:r>
            <w:r>
              <w:rPr>
                <w:rFonts w:hint="eastAsia" w:cs="宋体" w:asciiTheme="minorEastAsia" w:hAnsiTheme="minorEastAsia" w:eastAsiaTheme="minorEastAsia"/>
                <w:color w:val="000000" w:themeColor="text1"/>
                <w:szCs w:val="21"/>
              </w:rPr>
              <w:t>付款方式、交货时间及地点</w:t>
            </w:r>
            <w:r>
              <w:rPr>
                <w:rFonts w:hint="eastAsia" w:asciiTheme="minorEastAsia" w:hAnsiTheme="minorEastAsia" w:eastAsiaTheme="minorEastAsia"/>
                <w:bCs/>
                <w:color w:val="000000" w:themeColor="text1"/>
                <w:szCs w:val="21"/>
              </w:rPr>
              <w:t>等有双方签字盖章。</w:t>
            </w:r>
          </w:p>
          <w:p>
            <w:pPr>
              <w:spacing w:line="276" w:lineRule="auto"/>
              <w:jc w:val="left"/>
              <w:rPr>
                <w:rFonts w:asciiTheme="minorEastAsia" w:hAnsiTheme="minorEastAsia" w:eastAsiaTheme="minorEastAsia"/>
                <w:bCs/>
                <w:color w:val="000000" w:themeColor="text1"/>
                <w:szCs w:val="21"/>
              </w:rPr>
            </w:pPr>
            <w:r>
              <w:rPr>
                <w:rFonts w:hint="eastAsia" w:asciiTheme="minorEastAsia" w:hAnsiTheme="minorEastAsia" w:eastAsiaTheme="minorEastAsia"/>
                <w:bCs/>
                <w:color w:val="000000" w:themeColor="text1"/>
                <w:szCs w:val="21"/>
              </w:rPr>
              <w:t>有双方签字盖章。</w:t>
            </w:r>
          </w:p>
          <w:p/>
          <w:p>
            <w:pPr>
              <w:spacing w:line="276" w:lineRule="auto"/>
              <w:jc w:val="left"/>
              <w:rPr>
                <w:rFonts w:cs="宋体" w:asciiTheme="minorEastAsia" w:hAnsiTheme="minorEastAsia" w:eastAsiaTheme="minorEastAsia"/>
                <w:szCs w:val="21"/>
              </w:rPr>
            </w:pPr>
            <w:r>
              <w:rPr>
                <w:rFonts w:hint="eastAsia" w:cs="宋体" w:asciiTheme="minorEastAsia" w:hAnsiTheme="minorEastAsia" w:eastAsiaTheme="minorEastAsia"/>
                <w:color w:val="000000" w:themeColor="text1"/>
                <w:szCs w:val="21"/>
              </w:rPr>
              <w:t>另抽其他销售合同，均保存完好，符合要求。上述合同均按期履行。</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产品和服务要求的更改</w:t>
            </w:r>
          </w:p>
          <w:p>
            <w:pPr>
              <w:spacing w:line="276" w:lineRule="auto"/>
              <w:rPr>
                <w:rFonts w:asciiTheme="minorEastAsia" w:hAnsiTheme="minorEastAsia" w:eastAsiaTheme="minorEastAsia" w:cstheme="minorEastAsia"/>
                <w:color w:val="000000"/>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Q8</w:t>
            </w:r>
            <w:r>
              <w:rPr>
                <w:rFonts w:asciiTheme="minorEastAsia" w:hAnsiTheme="minorEastAsia" w:eastAsiaTheme="minorEastAsia"/>
                <w:szCs w:val="21"/>
              </w:rPr>
              <w:t>.2.</w:t>
            </w:r>
            <w:r>
              <w:rPr>
                <w:rFonts w:hint="eastAsia" w:asciiTheme="minorEastAsia" w:hAnsiTheme="minorEastAsia" w:eastAsiaTheme="minorEastAsia"/>
                <w:szCs w:val="21"/>
              </w:rPr>
              <w:t>4</w:t>
            </w:r>
          </w:p>
          <w:p>
            <w:pPr>
              <w:spacing w:line="276" w:lineRule="auto"/>
              <w:rPr>
                <w:rFonts w:asciiTheme="minorEastAsia" w:hAnsiTheme="minorEastAsia" w:eastAsiaTheme="minorEastAsia" w:cstheme="minorEastAsia"/>
                <w:szCs w:val="21"/>
              </w:rPr>
            </w:pPr>
          </w:p>
        </w:tc>
        <w:tc>
          <w:tcPr>
            <w:tcW w:w="10004" w:type="dxa"/>
            <w:vAlign w:val="center"/>
          </w:tcPr>
          <w:p>
            <w:pPr>
              <w:spacing w:line="276" w:lineRule="auto"/>
              <w:ind w:firstLine="315" w:firstLineChars="150"/>
              <w:jc w:val="left"/>
              <w:rPr>
                <w:rFonts w:cs="宋体" w:asciiTheme="minorEastAsia" w:hAnsiTheme="minorEastAsia" w:eastAsiaTheme="minorEastAsia"/>
                <w:szCs w:val="21"/>
              </w:rPr>
            </w:pPr>
            <w:r>
              <w:rPr>
                <w:rFonts w:hint="eastAsia" w:cs="宋体" w:asciiTheme="minorEastAsia" w:hAnsiTheme="minorEastAsia" w:eastAsiaTheme="minorEastAsia"/>
                <w:szCs w:val="21"/>
              </w:rPr>
              <w:t>企业有建立合同/订单的更改的流程，合同/订单中产品和服务要求的更改由生产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产品和服务的设计和开发</w:t>
            </w:r>
          </w:p>
          <w:p>
            <w:pPr>
              <w:spacing w:line="276" w:lineRule="auto"/>
              <w:rPr>
                <w:rFonts w:asciiTheme="minorEastAsia" w:hAnsiTheme="minorEastAsia" w:eastAsiaTheme="minorEastAsia" w:cstheme="minorEastAsia"/>
                <w:color w:val="000000"/>
                <w:szCs w:val="21"/>
              </w:rPr>
            </w:pPr>
          </w:p>
        </w:tc>
        <w:tc>
          <w:tcPr>
            <w:tcW w:w="960" w:type="dxa"/>
            <w:vAlign w:val="center"/>
          </w:tcPr>
          <w:p>
            <w:pPr>
              <w:spacing w:line="276" w:lineRule="auto"/>
              <w:ind w:firstLine="105" w:firstLineChars="50"/>
              <w:jc w:val="left"/>
              <w:rPr>
                <w:rFonts w:asciiTheme="minorEastAsia" w:hAnsiTheme="minorEastAsia" w:eastAsiaTheme="minorEastAsia"/>
                <w:szCs w:val="21"/>
              </w:rPr>
            </w:pPr>
            <w:r>
              <w:rPr>
                <w:rFonts w:hint="eastAsia" w:asciiTheme="minorEastAsia" w:hAnsiTheme="minorEastAsia" w:eastAsiaTheme="minorEastAsia"/>
                <w:szCs w:val="21"/>
              </w:rPr>
              <w:t>Q8</w:t>
            </w:r>
            <w:r>
              <w:rPr>
                <w:rFonts w:asciiTheme="minorEastAsia" w:hAnsiTheme="minorEastAsia" w:eastAsiaTheme="minorEastAsia"/>
                <w:szCs w:val="21"/>
              </w:rPr>
              <w:t>.</w:t>
            </w:r>
            <w:r>
              <w:rPr>
                <w:rFonts w:hint="eastAsia" w:asciiTheme="minorEastAsia" w:hAnsiTheme="minorEastAsia" w:eastAsiaTheme="minorEastAsia"/>
                <w:szCs w:val="21"/>
              </w:rPr>
              <w:t>3</w:t>
            </w:r>
          </w:p>
          <w:p>
            <w:pPr>
              <w:spacing w:line="276" w:lineRule="auto"/>
              <w:rPr>
                <w:rFonts w:asciiTheme="minorEastAsia" w:hAnsiTheme="minorEastAsia" w:eastAsiaTheme="minorEastAsia" w:cstheme="minorEastAsia"/>
                <w:szCs w:val="21"/>
              </w:rPr>
            </w:pPr>
          </w:p>
        </w:tc>
        <w:tc>
          <w:tcPr>
            <w:tcW w:w="10004" w:type="dxa"/>
            <w:vAlign w:val="center"/>
          </w:tcPr>
          <w:p>
            <w:pPr>
              <w:adjustRightInd w:val="0"/>
              <w:snapToGrid w:val="0"/>
              <w:spacing w:line="276" w:lineRule="auto"/>
              <w:rPr>
                <w:rFonts w:asciiTheme="minorEastAsia" w:hAnsiTheme="minorEastAsia" w:eastAsiaTheme="minorEastAsia" w:cstheme="minorEastAsia"/>
                <w:szCs w:val="21"/>
              </w:rPr>
            </w:pPr>
            <w:r>
              <w:rPr>
                <w:rFonts w:hint="eastAsia" w:cs="宋体" w:asciiTheme="minorEastAsia" w:hAnsiTheme="minorEastAsia" w:eastAsiaTheme="minorEastAsia"/>
                <w:kern w:val="0"/>
                <w:szCs w:val="21"/>
              </w:rPr>
              <w:t>产品和服务过程的设计和开发包括：依据特定的客户要求，合同订单等信息的变化，重新确定设计和开发服务规范，产品接收准则；为适应市场竞争的需要，拓展营销渠道和营销模式；依据客户的服务特殊要求，变更固有的服务模式等。目前根据顾客要求进行生产活动。生产产品、工艺流程，产品质量评价准则一致，均要求在销售合同和适用的法律法规框架范围内进行，不涉及产品和服务的设计和开发</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生产和服务提供的控制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8.5.1</w:t>
            </w:r>
          </w:p>
          <w:p>
            <w:pPr>
              <w:rPr>
                <w:rFonts w:asciiTheme="minorEastAsia" w:hAnsiTheme="minorEastAsia" w:eastAsiaTheme="minorEastAsia" w:cstheme="minorEastAsia"/>
                <w:szCs w:val="21"/>
              </w:rPr>
            </w:pP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企业根据国家标准、行业标准GA 68-2019警用防刺服；GA 810-2008 自由伸缩式枪纲；GA 887-2010公安单警装备  警用水壶GB/T2423.17-2008《电子电工产品环境试验 第2部分：试验方法  试验Ka：盐雾》</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Q/KJ102-2020 《金属手铐》</w:t>
            </w:r>
            <w:r>
              <w:rPr>
                <w:rFonts w:asciiTheme="minorEastAsia" w:hAnsiTheme="minorEastAsia" w:eastAsiaTheme="minorEastAsia" w:cstheme="minorEastAsia"/>
                <w:szCs w:val="21"/>
              </w:rPr>
              <w:t>等进行生产</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a)</w:t>
            </w:r>
            <w:r>
              <w:rPr>
                <w:rFonts w:hint="eastAsia" w:asciiTheme="minorEastAsia" w:hAnsiTheme="minorEastAsia" w:eastAsiaTheme="minorEastAsia" w:cstheme="minorEastAsia"/>
                <w:szCs w:val="21"/>
              </w:rPr>
              <w:t>组织通过图纸、产品型号、产品标准描述产品特性，生产车间通过下达的</w:t>
            </w:r>
            <w:r>
              <w:rPr>
                <w:rFonts w:hint="eastAsia" w:asciiTheme="minorEastAsia" w:hAnsiTheme="minorEastAsia" w:eastAsiaTheme="minorEastAsia" w:cstheme="minorEastAsia"/>
                <w:szCs w:val="21"/>
                <w:lang w:val="en-US" w:eastAsia="zh-CN"/>
              </w:rPr>
              <w:t>订单明细</w:t>
            </w:r>
            <w:r>
              <w:rPr>
                <w:rFonts w:hint="eastAsia" w:asciiTheme="minorEastAsia" w:hAnsiTheme="minorEastAsia" w:eastAsiaTheme="minorEastAsia" w:cstheme="minorEastAsia"/>
                <w:szCs w:val="21"/>
              </w:rPr>
              <w:t>获得表述产品特性的信息。策划了生产流程：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原材料/配件检验入库—下料（适用时）--机加工（适用时）--表面处理（适用时）--装配—调整—标刻—表面清洁--检验—包装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客户接触--合同评审--签订合同--客户付款--入帐--采购--客户提货--验收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 xml:space="preserve">b) </w:t>
            </w:r>
            <w:r>
              <w:rPr>
                <w:rFonts w:hint="eastAsia" w:asciiTheme="minorEastAsia" w:hAnsiTheme="minorEastAsia" w:eastAsiaTheme="minorEastAsia" w:cstheme="minorEastAsia"/>
                <w:szCs w:val="21"/>
              </w:rPr>
              <w:t>可获得和使用适宜的监视和测量资源：</w:t>
            </w:r>
            <w:r>
              <w:rPr>
                <w:rFonts w:hint="eastAsia" w:ascii="宋体" w:hAnsi="宋体"/>
                <w:color w:val="000000"/>
                <w:spacing w:val="-10"/>
                <w:sz w:val="20"/>
              </w:rPr>
              <w:t>盐雾测试机、洛氏硬度计、拉力机、游标卡尺、数显扭力扳手</w:t>
            </w:r>
            <w:r>
              <w:rPr>
                <w:rFonts w:hint="eastAsia" w:asciiTheme="minorEastAsia" w:hAnsiTheme="minorEastAsia" w:eastAsiaTheme="minorEastAsia" w:cstheme="minorEastAsia"/>
                <w:szCs w:val="21"/>
              </w:rPr>
              <w:t>等。监视和测量设备满足检验需要。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C)</w:t>
            </w:r>
            <w:r>
              <w:rPr>
                <w:rFonts w:hint="eastAsia" w:asciiTheme="minorEastAsia" w:hAnsiTheme="minorEastAsia" w:eastAsiaTheme="minorEastAsia" w:cstheme="minorEastAsia"/>
                <w:szCs w:val="21"/>
              </w:rPr>
              <w:t>在适当阶段实施监视和测量活动，以验证是否符合过程或输出的控制准则以及产品和服务的接收准则：图纸、工艺卡、行业标准等作业指导文件实施过程控制。</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产品通过检验等来对产品实现过程进行控制。生产过程中由专人进行检查，完成后由客户进行验收，符合要求。抽工艺流程卡：</w:t>
            </w:r>
          </w:p>
          <w:p>
            <w:r>
              <w:drawing>
                <wp:inline distT="0" distB="0" distL="0" distR="0">
                  <wp:extent cx="2802255" cy="17735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2802611" cy="1773858"/>
                          </a:xfrm>
                          <a:prstGeom prst="rect">
                            <a:avLst/>
                          </a:prstGeom>
                        </pic:spPr>
                      </pic:pic>
                    </a:graphicData>
                  </a:graphic>
                </wp:inline>
              </w:drawing>
            </w:r>
            <w:r>
              <w:drawing>
                <wp:inline distT="0" distB="0" distL="0" distR="0">
                  <wp:extent cx="2764155" cy="19005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2764509" cy="1900865"/>
                          </a:xfrm>
                          <a:prstGeom prst="rect">
                            <a:avLst/>
                          </a:prstGeom>
                        </pic:spPr>
                      </pic:pic>
                    </a:graphicData>
                  </a:graphic>
                </wp:inline>
              </w:drawing>
            </w:r>
          </w:p>
          <w:p>
            <w:pPr>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抽图纸：</w:t>
            </w:r>
          </w:p>
          <w:p>
            <w:r>
              <w:drawing>
                <wp:inline distT="0" distB="0" distL="0" distR="0">
                  <wp:extent cx="1485900" cy="119570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8"/>
                          <a:stretch>
                            <a:fillRect/>
                          </a:stretch>
                        </pic:blipFill>
                        <pic:spPr>
                          <a:xfrm>
                            <a:off x="0" y="0"/>
                            <a:ext cx="1485976" cy="1196029"/>
                          </a:xfrm>
                          <a:prstGeom prst="rect">
                            <a:avLst/>
                          </a:prstGeom>
                        </pic:spPr>
                      </pic:pic>
                    </a:graphicData>
                  </a:graphic>
                </wp:inline>
              </w:drawing>
            </w:r>
            <w:r>
              <w:drawing>
                <wp:inline distT="0" distB="0" distL="0" distR="0">
                  <wp:extent cx="1807210" cy="1410335"/>
                  <wp:effectExtent l="0" t="0" r="8890" b="1206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1807210" cy="1410335"/>
                          </a:xfrm>
                          <a:prstGeom prst="rect">
                            <a:avLst/>
                          </a:prstGeom>
                        </pic:spPr>
                      </pic:pic>
                    </a:graphicData>
                  </a:graphic>
                </wp:inline>
              </w:drawing>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根据图纸技术要求进行组装生产</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d）</w:t>
            </w:r>
            <w:r>
              <w:rPr>
                <w:rFonts w:hint="eastAsia" w:asciiTheme="minorEastAsia" w:hAnsiTheme="minorEastAsia" w:eastAsiaTheme="minorEastAsia" w:cstheme="minorEastAsia"/>
                <w:szCs w:val="21"/>
              </w:rPr>
              <w:t>为过程的运行使用适宜的基础设施，并保持适宜的环境：配备了</w:t>
            </w:r>
            <w:r>
              <w:rPr>
                <w:rFonts w:hint="eastAsia" w:ascii="宋体" w:hAnsi="宋体"/>
                <w:color w:val="000000"/>
                <w:spacing w:val="-10"/>
                <w:sz w:val="20"/>
              </w:rPr>
              <w:t>冲床、旋铆机、激光打标机、打包机、台钻及手工工具</w:t>
            </w:r>
            <w:r>
              <w:rPr>
                <w:rFonts w:hint="eastAsia" w:asciiTheme="minorEastAsia" w:hAnsiTheme="minorEastAsia" w:eastAsiaTheme="minorEastAsia" w:cstheme="minorEastAsia"/>
                <w:szCs w:val="21"/>
              </w:rPr>
              <w:t>等生产设备，人员经过培训上岗等。基本满足工作需要。资源基本满足。</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生产环境无其他特殊要求。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办公区内有消防器材，有效期内。</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e</w:t>
            </w:r>
            <w:r>
              <w:rPr>
                <w:rFonts w:hint="eastAsia" w:asciiTheme="minorEastAsia" w:hAnsiTheme="minorEastAsia" w:eastAsiaTheme="minorEastAsia" w:cstheme="minorEastAsia"/>
                <w:szCs w:val="21"/>
              </w:rPr>
              <w:t>）配备胜任的人员，包括所需求的资格：初中以上学历；视力良好；经过培训、考核合格后上岗。</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f</w:t>
            </w:r>
            <w:r>
              <w:rPr>
                <w:rFonts w:hint="eastAsia" w:asciiTheme="minorEastAsia" w:hAnsiTheme="minorEastAsia" w:eastAsiaTheme="minorEastAsia" w:cstheme="minorEastAsia"/>
                <w:szCs w:val="21"/>
              </w:rPr>
              <w:t>）若输出结果不能由后续的监视或测量加以验证，应对生产和服务提供过程实现策划结果的能力进行确认，并定期再确认：经确认，生产过程中表面处理（喷漆、电镀、氧化）为需要确认的过程（外包）。</w:t>
            </w:r>
          </w:p>
          <w:p>
            <w:r>
              <w:rPr>
                <w:rFonts w:hint="eastAsia" w:asciiTheme="minorEastAsia" w:hAnsiTheme="minorEastAsia" w:eastAsiaTheme="minorEastAsia" w:cstheme="minorEastAsia"/>
                <w:szCs w:val="21"/>
              </w:rPr>
              <w:t>抽确认记录，企业未能提供，已开不符合。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g</w:t>
            </w:r>
            <w:r>
              <w:rPr>
                <w:rFonts w:hint="eastAsia" w:asciiTheme="minorEastAsia" w:hAnsiTheme="minorEastAsia" w:eastAsiaTheme="minorEastAsia" w:cstheme="minorEastAsia"/>
                <w:szCs w:val="21"/>
              </w:rPr>
              <w:t>）采取措施防止人为错误：各工序制定有操作规程，明确了操作要求，各工序互检，避免人为失误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h</w:t>
            </w:r>
            <w:r>
              <w:rPr>
                <w:rFonts w:hint="eastAsia" w:asciiTheme="minorEastAsia" w:hAnsiTheme="minorEastAsia" w:eastAsiaTheme="minorEastAsia" w:cstheme="minorEastAsia"/>
                <w:szCs w:val="21"/>
              </w:rPr>
              <w:t>）实施放行、交付和交付后的活动：按照各工艺卡要求实施过程控制，以确保有效实施放行、交付和交付后活动。</w:t>
            </w:r>
          </w:p>
          <w:p/>
          <w:p>
            <w:r>
              <w:rPr>
                <w:rFonts w:hint="eastAsia"/>
              </w:rPr>
              <w:t>查看工作情况：正在进行手铐生产：现场有工艺图纸、工艺卡，员工按其进行组装加工</w:t>
            </w:r>
          </w:p>
          <w:p>
            <w:r>
              <w:rPr>
                <w:rFonts w:hint="eastAsia"/>
              </w:rPr>
              <w:t xml:space="preserve">下料：按模具外架下料    </w:t>
            </w:r>
          </w:p>
          <w:p>
            <w:r>
              <w:rPr>
                <w:rFonts w:hint="eastAsia"/>
              </w:rPr>
              <w:t xml:space="preserve">研磨：无毛刺 </w:t>
            </w:r>
          </w:p>
          <w:p>
            <w:r>
              <w:rPr>
                <w:rFonts w:hint="eastAsia"/>
              </w:rPr>
              <w:t>挑选（采购扇梁，扇梁外表面无缺陷，三齿无明显偏差）</w:t>
            </w:r>
          </w:p>
          <w:p>
            <w:r>
              <w:rPr>
                <w:rFonts w:hint="eastAsia"/>
              </w:rPr>
              <w:t>装配：扇梁、锁齿、片簧、限位块、铐体铆钉、轴套、扇梁铆钉、左铐体、隔板、隔片、右铐体、钥匙、链条组件、链座、链环；均按图纸进行装配</w:t>
            </w:r>
          </w:p>
          <w:p>
            <w:r>
              <w:rPr>
                <w:rFonts w:hint="eastAsia"/>
              </w:rPr>
              <w:t>检验：</w:t>
            </w:r>
          </w:p>
          <w:p>
            <w:r>
              <w:rPr>
                <w:rFonts w:hint="eastAsia"/>
              </w:rPr>
              <w:t>外观：1、外表面为机械加工面</w:t>
            </w:r>
          </w:p>
          <w:p>
            <w:pPr>
              <w:ind w:firstLine="840" w:firstLineChars="400"/>
            </w:pPr>
            <w:r>
              <w:rPr>
                <w:rFonts w:hint="eastAsia"/>
              </w:rPr>
              <w:t>2、无肉眼可见裂纹及其他缺陷</w:t>
            </w:r>
          </w:p>
          <w:p>
            <w:r>
              <w:rPr>
                <w:rFonts w:hint="eastAsia"/>
              </w:rPr>
              <w:t>尺寸：扇梁铆接处≤0.3mm</w:t>
            </w:r>
          </w:p>
          <w:p>
            <w:r>
              <w:rPr>
                <w:rFonts w:hint="eastAsia"/>
              </w:rPr>
              <w:t>标刻：标记方法是否正确、标识是否清晰</w:t>
            </w:r>
          </w:p>
          <w:p>
            <w:r>
              <w:rPr>
                <w:rFonts w:hint="eastAsia"/>
              </w:rPr>
              <w:t>清洁：产品是否擦拭干净</w:t>
            </w:r>
          </w:p>
          <w:p>
            <w:r>
              <w:rPr>
                <w:rFonts w:hint="eastAsia" w:hAnsi="宋体"/>
                <w:szCs w:val="21"/>
              </w:rPr>
              <w:t>包装：说明书、合格证、磨砂防护袋；双层瓦楞纸箱</w:t>
            </w:r>
          </w:p>
          <w:p>
            <w:pPr>
              <w:rPr>
                <w:rFonts w:hint="eastAsia"/>
                <w:lang w:val="en-US" w:eastAsia="zh-CN"/>
              </w:rPr>
            </w:pPr>
          </w:p>
          <w:p>
            <w:pPr>
              <w:rPr>
                <w:rFonts w:hint="default" w:eastAsia="宋体"/>
                <w:lang w:val="en-US" w:eastAsia="zh-CN"/>
              </w:rPr>
            </w:pPr>
            <w:r>
              <w:rPr>
                <w:rFonts w:hint="eastAsia"/>
                <w:lang w:val="en-US" w:eastAsia="zh-CN"/>
              </w:rPr>
              <w:t>另抽查现场生产军用水壶、</w:t>
            </w:r>
            <w:r>
              <w:rPr>
                <w:rFonts w:hint="eastAsia" w:ascii="宋体" w:hAnsi="宋体" w:cs="宋体"/>
              </w:rPr>
              <w:t>穿刺式阻车路障，防暴盾牌，组合式警棍，</w:t>
            </w:r>
            <w:r>
              <w:rPr>
                <w:rFonts w:hint="eastAsia" w:ascii="宋体" w:hAnsi="宋体" w:cs="宋体"/>
                <w:lang w:val="en-US" w:eastAsia="zh-CN"/>
              </w:rPr>
              <w:t>等产品，</w:t>
            </w:r>
            <w:r>
              <w:t>均按图纸及工艺卡进行组装加工</w:t>
            </w:r>
            <w:r>
              <w:rPr>
                <w:rFonts w:hint="eastAsia"/>
              </w:rPr>
              <w:t>，</w:t>
            </w:r>
            <w:r>
              <w:t>多数工艺需手工完成</w:t>
            </w:r>
            <w:r>
              <w:rPr>
                <w:rFonts w:hint="eastAsia"/>
              </w:rPr>
              <w:t>，</w:t>
            </w:r>
            <w:r>
              <w:t>组装过程中员工自检</w:t>
            </w:r>
            <w:r>
              <w:rPr>
                <w:rFonts w:hint="eastAsia"/>
              </w:rPr>
              <w:t>，设置专检员工，成品100全检。</w:t>
            </w:r>
          </w:p>
          <w:p>
            <w:pPr>
              <w:rPr>
                <w:rFonts w:hint="eastAsia"/>
              </w:rPr>
            </w:pPr>
          </w:p>
          <w:p>
            <w:r>
              <w:rPr>
                <w:rFonts w:hint="eastAsia"/>
              </w:rPr>
              <w:t>工作现场设有专人管理，工作环境维持较好，未发现不符合要求情况。</w:t>
            </w:r>
          </w:p>
          <w:p>
            <w:r>
              <w:rPr>
                <w:rFonts w:hint="eastAsia"/>
              </w:rPr>
              <w:t>提供有产品现场检验记录，写明了产品名称、型号数量、操作人等。</w:t>
            </w:r>
          </w:p>
          <w:p>
            <w:r>
              <w:rPr>
                <w:rFonts w:hint="eastAsia"/>
              </w:rPr>
              <w:t>现场工作人员8余名</w:t>
            </w:r>
          </w:p>
          <w:p>
            <w:r>
              <w:rPr>
                <w:rFonts w:hint="eastAsia"/>
              </w:rPr>
              <w:t>现场抽查2名工作人员询问安装相关操作要求，能够准确回答，与作业文件要求一致，满足要求。</w:t>
            </w:r>
          </w:p>
          <w:p>
            <w:r>
              <w:rPr>
                <w:rFonts w:hint="eastAsia"/>
              </w:rPr>
              <w:t>查看了工人的操作情况，工人操作熟练，符合要求。</w:t>
            </w:r>
          </w:p>
          <w:p>
            <w:r>
              <w:rPr>
                <w:rFonts w:hint="eastAsia"/>
              </w:rPr>
              <w:t>经过现场查看，工人能够按照作业指导书要求进行工作，秩序良好，满足要求。</w:t>
            </w:r>
          </w:p>
          <w:p>
            <w:r>
              <w:rPr>
                <w:rFonts w:hint="eastAsia"/>
              </w:rPr>
              <w:t>生产车间、库房、办公区均有灭火器，查灭火器状态均正常。</w:t>
            </w:r>
          </w:p>
          <w:p>
            <w:r>
              <w:rPr>
                <w:rFonts w:hint="eastAsia"/>
              </w:rPr>
              <w:t>巡视生产现场垃圾处理情况，对垃圾进行分类存储，符合要求。</w:t>
            </w:r>
          </w:p>
          <w:p>
            <w:r>
              <w:rPr>
                <w:rFonts w:hint="eastAsia"/>
              </w:rPr>
              <w:t>现场查看生产车间边角料的处理情况，可回收再利用的进行再利用，均符合要求。</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生产过程受控</w:t>
            </w:r>
            <w:r>
              <w:rPr>
                <w:rFonts w:hint="eastAsia" w:asciiTheme="minorEastAsia" w:hAnsiTheme="minorEastAsia" w:eastAsiaTheme="minorEastAsia" w:cstheme="minorEastAsia"/>
                <w:szCs w:val="21"/>
              </w:rPr>
              <w:t>。</w:t>
            </w:r>
          </w:p>
        </w:tc>
        <w:tc>
          <w:tcPr>
            <w:tcW w:w="1585" w:type="dxa"/>
          </w:tcPr>
          <w:p>
            <w:pPr>
              <w:spacing w:line="276" w:lineRule="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标识和可追溯性</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《质量手册》中说明产品标识包括识别产品的堆高要求、防雨、防重压、防潮、生产企业名称、电话等内容，还应包括能够识别检验状态的内容；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1、产品状态标识应包括以下内容：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a）产品的名称、客户信息、产品型号等；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b）检验状态：待检、合格、不合格、待判定。</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2、标识方式主要有：存放区域和外包装物标识及记录等；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在现场检查中看到，正在生产的产品上均</w:t>
            </w:r>
            <w:r>
              <w:rPr>
                <w:rFonts w:hint="eastAsia" w:asciiTheme="minorEastAsia" w:hAnsiTheme="minorEastAsia" w:eastAsiaTheme="minorEastAsia" w:cstheme="minorEastAsia"/>
                <w:szCs w:val="21"/>
                <w:lang w:val="en-US" w:eastAsia="zh-CN"/>
              </w:rPr>
              <w:t>无</w:t>
            </w:r>
            <w:r>
              <w:rPr>
                <w:rFonts w:hint="eastAsia" w:asciiTheme="minorEastAsia" w:hAnsiTheme="minorEastAsia" w:eastAsiaTheme="minorEastAsia" w:cstheme="minorEastAsia"/>
                <w:szCs w:val="21"/>
              </w:rPr>
              <w:t>产品状态标识卡，</w:t>
            </w:r>
            <w:r>
              <w:rPr>
                <w:rFonts w:hint="eastAsia" w:asciiTheme="minorEastAsia" w:hAnsiTheme="minorEastAsia" w:eastAsiaTheme="minorEastAsia" w:cstheme="minorEastAsia"/>
                <w:szCs w:val="21"/>
                <w:lang w:val="en-US" w:eastAsia="zh-CN"/>
              </w:rPr>
              <w:t>未标清半成品、成品</w:t>
            </w:r>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成品配置合格证及说明书等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企业有仓库，按原材料类别分区存放，按产品类别及型号进行分类。有仓库管理制度，较重物品放低层等。</w:t>
            </w:r>
          </w:p>
          <w:p>
            <w:pPr>
              <w:rPr>
                <w:rFonts w:asciiTheme="minorEastAsia" w:hAnsiTheme="minorEastAsia" w:eastAsiaTheme="minorEastAsia" w:cstheme="minorEastAsia"/>
                <w:szCs w:val="21"/>
              </w:rPr>
            </w:pPr>
            <w:r>
              <w:rPr>
                <w:rFonts w:asciiTheme="minorEastAsia" w:hAnsiTheme="minorEastAsia" w:eastAsiaTheme="minorEastAsia" w:cstheme="minorEastAsia"/>
                <w:szCs w:val="21"/>
              </w:rPr>
              <w:t>仓库有禁烟</w:t>
            </w:r>
            <w:r>
              <w:rPr>
                <w:rFonts w:hint="eastAsia" w:asciiTheme="minorEastAsia" w:hAnsiTheme="minorEastAsia" w:eastAsiaTheme="minorEastAsia" w:cstheme="minorEastAsia"/>
                <w:szCs w:val="21"/>
              </w:rPr>
              <w:t>、防火标识。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库房有出入库记录，先进先出。抽出入库记录，均保存完好，符合要求。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可追溯性：进货单号→订单（生产计划）→检验记录，保证了公司的每件产品出公司后仍能根据标号查到产品从进货到加工到生产的每个环节的信息。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追溯路径为：</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成品检验 →图纸→工序作业人员→领料单 → 采购原料原标识。</w:t>
            </w:r>
          </w:p>
        </w:tc>
        <w:tc>
          <w:tcPr>
            <w:tcW w:w="1585" w:type="dxa"/>
          </w:tcPr>
          <w:p>
            <w:pPr>
              <w:spacing w:line="276" w:lineRule="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ind w:right="-164" w:rightChars="-78"/>
              <w:jc w:val="left"/>
              <w:rPr>
                <w:rFonts w:asciiTheme="minorEastAsia" w:hAnsiTheme="minorEastAsia" w:eastAsiaTheme="minorEastAsia"/>
                <w:szCs w:val="21"/>
              </w:rPr>
            </w:pPr>
            <w:r>
              <w:rPr>
                <w:rFonts w:hint="eastAsia" w:asciiTheme="minorEastAsia" w:hAnsiTheme="minorEastAsia" w:eastAsiaTheme="minorEastAsia"/>
                <w:szCs w:val="21"/>
              </w:rPr>
              <w:t>顾客或外部供方的财产</w:t>
            </w:r>
          </w:p>
          <w:p>
            <w:pPr>
              <w:spacing w:line="276" w:lineRule="auto"/>
              <w:rPr>
                <w:rFonts w:asciiTheme="minorEastAsia" w:hAnsiTheme="minorEastAsia" w:eastAsiaTheme="minorEastAsia" w:cstheme="minorEastAsia"/>
                <w:color w:val="000000"/>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Q </w:t>
            </w:r>
            <w:r>
              <w:rPr>
                <w:rFonts w:asciiTheme="minorEastAsia" w:hAnsiTheme="minorEastAsia" w:eastAsiaTheme="minorEastAsia"/>
                <w:szCs w:val="21"/>
              </w:rPr>
              <w:t>8.5.3</w:t>
            </w:r>
          </w:p>
          <w:p>
            <w:pPr>
              <w:spacing w:line="276" w:lineRule="auto"/>
              <w:rPr>
                <w:rFonts w:asciiTheme="minorEastAsia" w:hAnsiTheme="minorEastAsia" w:eastAsiaTheme="minorEastAsia" w:cstheme="minorEastAsia"/>
                <w:szCs w:val="21"/>
              </w:rPr>
            </w:pPr>
          </w:p>
        </w:tc>
        <w:tc>
          <w:tcPr>
            <w:tcW w:w="10004" w:type="dxa"/>
            <w:vAlign w:val="center"/>
          </w:tcPr>
          <w:p>
            <w:pPr>
              <w:adjustRightInd w:val="0"/>
              <w:snapToGrid w:val="0"/>
              <w:spacing w:line="276" w:lineRule="auto"/>
              <w:rPr>
                <w:rFonts w:asciiTheme="minorEastAsia" w:hAnsiTheme="minorEastAsia" w:eastAsiaTheme="minorEastAsia" w:cstheme="minorEastAsia"/>
                <w:szCs w:val="21"/>
              </w:rPr>
            </w:pPr>
            <w:r>
              <w:rPr>
                <w:rFonts w:hint="eastAsia" w:asciiTheme="minorEastAsia" w:hAnsiTheme="minorEastAsia" w:eastAsiaTheme="minorEastAsia"/>
                <w:szCs w:val="21"/>
              </w:rPr>
              <w:t>企业无顾客提供的实物财产和外部供方财产，目前顾客财产主要包括顾客个人信息或知识产权等，要求对顾客财产进行识别、验证、保护和维护，未发现因顾客财产控制不当。询问该部门负责人熟知顾客财产的控制要求。</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产品防护</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8.5.4</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提供的《质量手册》中明确标识了搬运，贮存，包装，防护等方面的控制要求。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1．标识：标识采用标签，标牌，区域，检验状态等形式控制。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车间现场标识基本齐全，采用生产制造单，可追溯，操作工，检验员，控制基本有效。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2．搬运：使用人工搬运、地牛等。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3．包装：纸箱包装。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4．贮存：仓库通风、采光、照明设施良好，防潮、防尘、防火，车间正在使用的原料及半成品按区域堆放、分区、分类存放，基本适宜。</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5．防护：在运输过程中用帆布篷进行覆盖，防止雨淋、防尘、防损伤。</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成品单独存放区域，入库时凭入库单入库，做好相应状态标识；出库时凭发货单进行出库，及时销账，做到帐、卡、物相符。</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ind w:right="-164" w:rightChars="-78"/>
              <w:jc w:val="left"/>
              <w:rPr>
                <w:rFonts w:asciiTheme="minorEastAsia" w:hAnsiTheme="minorEastAsia" w:eastAsiaTheme="minorEastAsia"/>
                <w:szCs w:val="21"/>
              </w:rPr>
            </w:pPr>
            <w:r>
              <w:rPr>
                <w:rFonts w:hint="eastAsia" w:asciiTheme="minorEastAsia" w:hAnsiTheme="minorEastAsia" w:eastAsiaTheme="minorEastAsia"/>
                <w:szCs w:val="21"/>
              </w:rPr>
              <w:t>交付后的活动</w:t>
            </w:r>
          </w:p>
          <w:p>
            <w:pPr>
              <w:spacing w:line="276" w:lineRule="auto"/>
              <w:ind w:right="-164" w:rightChars="-78"/>
              <w:jc w:val="left"/>
              <w:rPr>
                <w:rFonts w:asciiTheme="minorEastAsia" w:hAnsiTheme="minorEastAsia" w:eastAsiaTheme="minorEastAsia"/>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Q </w:t>
            </w:r>
            <w:r>
              <w:rPr>
                <w:rFonts w:asciiTheme="minorEastAsia" w:hAnsiTheme="minorEastAsia" w:eastAsiaTheme="minorEastAsia"/>
                <w:szCs w:val="21"/>
              </w:rPr>
              <w:t>8.5.5</w:t>
            </w:r>
          </w:p>
          <w:p>
            <w:pPr>
              <w:spacing w:line="276" w:lineRule="auto"/>
              <w:jc w:val="left"/>
              <w:rPr>
                <w:rFonts w:asciiTheme="minorEastAsia" w:hAnsiTheme="minorEastAsia" w:eastAsiaTheme="minorEastAsia"/>
                <w:szCs w:val="21"/>
              </w:rPr>
            </w:pPr>
          </w:p>
        </w:tc>
        <w:tc>
          <w:tcPr>
            <w:tcW w:w="10004" w:type="dxa"/>
            <w:vAlign w:val="center"/>
          </w:tcPr>
          <w:p>
            <w:pPr>
              <w:spacing w:line="276" w:lineRule="auto"/>
              <w:ind w:firstLine="315" w:firstLineChars="150"/>
              <w:jc w:val="left"/>
              <w:rPr>
                <w:rFonts w:cs="宋体" w:asciiTheme="minorEastAsia" w:hAnsiTheme="minorEastAsia" w:eastAsiaTheme="minorEastAsia"/>
                <w:szCs w:val="21"/>
              </w:rPr>
            </w:pPr>
            <w:r>
              <w:rPr>
                <w:rFonts w:hint="eastAsia" w:cs="宋体" w:asciiTheme="minorEastAsia" w:hAnsiTheme="minorEastAsia" w:eastAsiaTheme="minorEastAsia"/>
                <w:szCs w:val="21"/>
              </w:rPr>
              <w:t>产品交付后，应按销售合同要求履行交付后的服务，产品除满足国家相关法律法规要求外，还包括，如售后三包、安装、适用技术支持等，并通过定期和不定期收集客户反馈信息，针对顾客反馈的问题及时处理。</w:t>
            </w:r>
          </w:p>
          <w:p>
            <w:pPr>
              <w:spacing w:line="276" w:lineRule="auto"/>
              <w:ind w:firstLine="315" w:firstLineChars="150"/>
              <w:jc w:val="left"/>
              <w:rPr>
                <w:rFonts w:cs="宋体" w:asciiTheme="minorEastAsia" w:hAnsiTheme="minorEastAsia" w:eastAsiaTheme="minorEastAsia"/>
                <w:szCs w:val="21"/>
              </w:rPr>
            </w:pPr>
            <w:r>
              <w:rPr>
                <w:rFonts w:hint="eastAsia" w:cs="宋体" w:asciiTheme="minorEastAsia" w:hAnsiTheme="minorEastAsia" w:eastAsiaTheme="minorEastAsia"/>
                <w:szCs w:val="21"/>
              </w:rPr>
              <w:t>交付后的活动基本符合要求。</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更改控制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8.5.6</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组织明确组织应对生产和服务提供的更改进行必要的评审和控制，以确保持续地符合要求，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组织应保留形成文件的信息，包括有关更改评审结果、授权进行更改的人员以及根据评审所采取的必要措施的要求。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经了解，目前组织在生产和服务提供期间的主要变更是：</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生产计划的变更、顾客订单产品要求及数量变更、交货日期变更、法律法规变更，产品标准变更，外部供方交货不及时或质量问题，设备出现故障等。</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现场与负责人交流沟通，负责人介绍说，目前，尚无上述情况的变更，现场无变更情况</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顾客满意</w:t>
            </w:r>
          </w:p>
          <w:p>
            <w:pPr>
              <w:spacing w:line="276" w:lineRule="auto"/>
              <w:ind w:right="-164" w:rightChars="-78"/>
              <w:jc w:val="left"/>
              <w:rPr>
                <w:rFonts w:asciiTheme="minorEastAsia" w:hAnsiTheme="minorEastAsia" w:eastAsiaTheme="minorEastAsia"/>
                <w:szCs w:val="21"/>
              </w:rPr>
            </w:pP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 xml:space="preserve">Q </w:t>
            </w:r>
            <w:r>
              <w:rPr>
                <w:rFonts w:asciiTheme="minorEastAsia" w:hAnsiTheme="minorEastAsia" w:eastAsiaTheme="minorEastAsia"/>
                <w:szCs w:val="21"/>
              </w:rPr>
              <w:t>9.1.2</w:t>
            </w:r>
          </w:p>
          <w:p>
            <w:pPr>
              <w:spacing w:line="276" w:lineRule="auto"/>
              <w:jc w:val="left"/>
              <w:rPr>
                <w:rFonts w:asciiTheme="minorEastAsia" w:hAnsiTheme="minorEastAsia" w:eastAsiaTheme="minorEastAsia"/>
                <w:szCs w:val="21"/>
              </w:rPr>
            </w:pPr>
          </w:p>
        </w:tc>
        <w:tc>
          <w:tcPr>
            <w:tcW w:w="10004" w:type="dxa"/>
            <w:vAlign w:val="center"/>
          </w:tcPr>
          <w:p>
            <w:pPr>
              <w:spacing w:line="276" w:lineRule="auto"/>
              <w:ind w:right="-107" w:rightChars="-51" w:firstLine="315" w:firstLineChars="150"/>
              <w:jc w:val="left"/>
              <w:rPr>
                <w:rFonts w:cs="宋体" w:asciiTheme="minorEastAsia" w:hAnsiTheme="minorEastAsia" w:eastAsiaTheme="minorEastAsia"/>
                <w:szCs w:val="21"/>
              </w:rPr>
            </w:pPr>
            <w:r>
              <w:rPr>
                <w:rFonts w:hint="eastAsia" w:cs="宋体" w:asciiTheme="minorEastAsia" w:hAnsiTheme="minorEastAsia" w:eastAsiaTheme="minorEastAsia"/>
                <w:szCs w:val="21"/>
              </w:rPr>
              <w:t>生产部主要通过不定期接受顾客信息反馈和定期发放“顾客满意度调查表”等收集顾客满意的相关信息。生产部于</w:t>
            </w:r>
            <w:r>
              <w:rPr>
                <w:szCs w:val="21"/>
                <w:lang w:val="en-GB"/>
              </w:rPr>
              <w:t>20</w:t>
            </w:r>
            <w:r>
              <w:rPr>
                <w:rFonts w:hint="eastAsia"/>
                <w:szCs w:val="21"/>
                <w:lang w:val="en-GB"/>
              </w:rPr>
              <w:t>2</w:t>
            </w:r>
            <w:r>
              <w:rPr>
                <w:rFonts w:hint="eastAsia"/>
                <w:szCs w:val="21"/>
                <w:lang w:val="en-US" w:eastAsia="zh-CN"/>
              </w:rPr>
              <w:t>1</w:t>
            </w:r>
            <w:r>
              <w:rPr>
                <w:szCs w:val="21"/>
                <w:lang w:val="en-GB"/>
              </w:rPr>
              <w:t>.</w:t>
            </w:r>
            <w:r>
              <w:rPr>
                <w:rFonts w:hint="eastAsia"/>
                <w:szCs w:val="21"/>
              </w:rPr>
              <w:t>1</w:t>
            </w:r>
            <w:r>
              <w:rPr>
                <w:rFonts w:hint="eastAsia"/>
                <w:szCs w:val="21"/>
                <w:lang w:val="en-US" w:eastAsia="zh-CN"/>
              </w:rPr>
              <w:t>0</w:t>
            </w:r>
            <w:r>
              <w:rPr>
                <w:szCs w:val="21"/>
                <w:lang w:val="en-GB"/>
              </w:rPr>
              <w:t>.</w:t>
            </w:r>
            <w:r>
              <w:rPr>
                <w:rFonts w:hint="eastAsia"/>
                <w:szCs w:val="21"/>
                <w:lang w:val="en-US" w:eastAsia="zh-CN"/>
              </w:rPr>
              <w:t>2</w:t>
            </w:r>
            <w:r>
              <w:rPr>
                <w:rFonts w:hint="eastAsia"/>
                <w:szCs w:val="21"/>
                <w:lang w:val="en-GB"/>
              </w:rPr>
              <w:t>0</w:t>
            </w:r>
            <w:r>
              <w:rPr>
                <w:rFonts w:hint="eastAsia" w:cs="宋体" w:asciiTheme="minorEastAsia" w:hAnsiTheme="minorEastAsia" w:eastAsiaTheme="minorEastAsia"/>
                <w:szCs w:val="21"/>
              </w:rPr>
              <w:t>月实施了一次顾客满意度工作，查见“顾客满意度调查表”，调查项目包括：包装质量、价格、交货期、支付服务、售后服务，报告统计结果综合满意率为9</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，达到了质量目标要求。顾客满意度调查结果有提交本年度的管理评审。</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放行控制</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8.6</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抽服务质量检查记录：</w:t>
            </w:r>
          </w:p>
          <w:p>
            <w:pPr>
              <w:rPr>
                <w:szCs w:val="21"/>
              </w:rPr>
            </w:pPr>
            <w:r>
              <w:rPr>
                <w:rFonts w:hint="eastAsia"/>
                <w:szCs w:val="21"/>
                <w:lang w:val="en-GB"/>
              </w:rPr>
              <w:t>检查时间 ：</w:t>
            </w:r>
            <w:r>
              <w:rPr>
                <w:szCs w:val="21"/>
                <w:lang w:val="en-GB"/>
              </w:rPr>
              <w:t>20</w:t>
            </w:r>
            <w:r>
              <w:rPr>
                <w:rFonts w:hint="eastAsia"/>
                <w:szCs w:val="21"/>
                <w:lang w:val="en-GB"/>
              </w:rPr>
              <w:t>2</w:t>
            </w:r>
            <w:r>
              <w:rPr>
                <w:rFonts w:hint="eastAsia"/>
                <w:szCs w:val="21"/>
                <w:lang w:val="en-US" w:eastAsia="zh-CN"/>
              </w:rPr>
              <w:t>1</w:t>
            </w:r>
            <w:r>
              <w:rPr>
                <w:szCs w:val="21"/>
                <w:lang w:val="en-GB"/>
              </w:rPr>
              <w:t>.</w:t>
            </w:r>
            <w:r>
              <w:rPr>
                <w:rFonts w:hint="eastAsia"/>
                <w:szCs w:val="21"/>
              </w:rPr>
              <w:t>1</w:t>
            </w:r>
            <w:r>
              <w:rPr>
                <w:rFonts w:hint="eastAsia"/>
                <w:szCs w:val="21"/>
                <w:lang w:val="en-US" w:eastAsia="zh-CN"/>
              </w:rPr>
              <w:t>0</w:t>
            </w:r>
            <w:r>
              <w:rPr>
                <w:szCs w:val="21"/>
                <w:lang w:val="en-GB"/>
              </w:rPr>
              <w:t>.</w:t>
            </w:r>
            <w:r>
              <w:rPr>
                <w:rFonts w:hint="eastAsia"/>
                <w:szCs w:val="21"/>
                <w:lang w:val="en-US" w:eastAsia="zh-CN"/>
              </w:rPr>
              <w:t>2</w:t>
            </w:r>
            <w:r>
              <w:rPr>
                <w:rFonts w:hint="eastAsia"/>
                <w:szCs w:val="21"/>
                <w:lang w:val="en-GB"/>
              </w:rPr>
              <w:t>0 检查人员 ：</w:t>
            </w:r>
            <w:r>
              <w:rPr>
                <w:rFonts w:hint="eastAsia"/>
                <w:szCs w:val="21"/>
                <w:lang w:val="en-GB" w:eastAsia="zh-CN"/>
              </w:rPr>
              <w:t>刘晓龙</w:t>
            </w:r>
          </w:p>
          <w:p>
            <w:pPr>
              <w:rPr>
                <w:szCs w:val="21"/>
              </w:rPr>
            </w:pPr>
            <w:r>
              <w:rPr>
                <w:rFonts w:hint="eastAsia"/>
                <w:szCs w:val="21"/>
                <w:lang w:val="en-GB"/>
              </w:rPr>
              <w:t>检查内容</w:t>
            </w:r>
            <w:r>
              <w:rPr>
                <w:rFonts w:hint="eastAsia"/>
                <w:szCs w:val="21"/>
                <w:lang w:val="en-GB" w:eastAsia="zh-CN"/>
              </w:rPr>
              <w:t>：</w:t>
            </w:r>
            <w:r>
              <w:rPr>
                <w:szCs w:val="21"/>
              </w:rPr>
              <w:t>员工</w:t>
            </w:r>
            <w:r>
              <w:rPr>
                <w:rFonts w:hint="eastAsia"/>
                <w:szCs w:val="21"/>
              </w:rPr>
              <w:t xml:space="preserve"> </w:t>
            </w:r>
            <w:r>
              <w:rPr>
                <w:rFonts w:hint="eastAsia"/>
                <w:szCs w:val="21"/>
                <w:lang w:val="en-US" w:eastAsia="zh-CN"/>
              </w:rPr>
              <w:t>仪表仪容，举止礼貌；</w:t>
            </w:r>
            <w:r>
              <w:rPr>
                <w:rFonts w:hint="eastAsia"/>
                <w:szCs w:val="21"/>
                <w:lang w:val="en-GB"/>
              </w:rPr>
              <w:t>办公场所</w:t>
            </w:r>
            <w:r>
              <w:rPr>
                <w:rFonts w:hint="eastAsia"/>
                <w:szCs w:val="21"/>
                <w:lang w:val="en-GB" w:eastAsia="zh-CN"/>
              </w:rPr>
              <w:t>，</w:t>
            </w:r>
            <w:r>
              <w:rPr>
                <w:rFonts w:hint="eastAsia"/>
                <w:szCs w:val="21"/>
                <w:lang w:val="en-US" w:eastAsia="zh-CN"/>
              </w:rPr>
              <w:t>整洁卫生；</w:t>
            </w:r>
            <w:r>
              <w:rPr>
                <w:rFonts w:hint="eastAsia"/>
                <w:szCs w:val="21"/>
                <w:lang w:val="en-GB"/>
              </w:rPr>
              <w:t>客户沟通</w:t>
            </w:r>
            <w:r>
              <w:rPr>
                <w:rFonts w:hint="eastAsia"/>
                <w:szCs w:val="21"/>
                <w:lang w:val="en-GB" w:eastAsia="zh-CN"/>
              </w:rPr>
              <w:t>，</w:t>
            </w:r>
            <w:r>
              <w:rPr>
                <w:rFonts w:hint="eastAsia"/>
                <w:szCs w:val="21"/>
              </w:rPr>
              <w:t>记录清楚，传递及时</w:t>
            </w:r>
            <w:r>
              <w:rPr>
                <w:rFonts w:hint="eastAsia"/>
                <w:szCs w:val="21"/>
                <w:lang w:eastAsia="zh-CN"/>
              </w:rPr>
              <w:t>；</w:t>
            </w:r>
            <w:r>
              <w:rPr>
                <w:rFonts w:hint="eastAsia"/>
                <w:szCs w:val="21"/>
                <w:lang w:val="en-GB"/>
              </w:rPr>
              <w:t>供货方沟通</w:t>
            </w:r>
            <w:r>
              <w:rPr>
                <w:rFonts w:hint="eastAsia"/>
                <w:szCs w:val="21"/>
                <w:lang w:eastAsia="zh-CN"/>
              </w:rPr>
              <w:t>，</w:t>
            </w:r>
            <w:r>
              <w:rPr>
                <w:rFonts w:hint="eastAsia"/>
                <w:szCs w:val="21"/>
              </w:rPr>
              <w:t>沟通及时，要求准确，记录清楚</w:t>
            </w:r>
            <w:r>
              <w:rPr>
                <w:rFonts w:hint="eastAsia"/>
                <w:szCs w:val="21"/>
                <w:lang w:eastAsia="zh-CN"/>
              </w:rPr>
              <w:t>；</w:t>
            </w:r>
            <w:r>
              <w:rPr>
                <w:rFonts w:hint="eastAsia"/>
                <w:szCs w:val="21"/>
                <w:lang w:val="en-GB"/>
              </w:rPr>
              <w:t>收发货</w:t>
            </w:r>
            <w:r>
              <w:rPr>
                <w:rFonts w:hint="eastAsia"/>
                <w:szCs w:val="21"/>
                <w:lang w:eastAsia="zh-CN"/>
              </w:rPr>
              <w:t>，</w:t>
            </w:r>
            <w:r>
              <w:rPr>
                <w:rFonts w:hint="eastAsia"/>
                <w:szCs w:val="21"/>
              </w:rPr>
              <w:t>收货及时，验收认证仔细，单证齐全，记录清楚完整。</w:t>
            </w:r>
            <w:r>
              <w:rPr>
                <w:rFonts w:hint="eastAsia"/>
                <w:szCs w:val="21"/>
                <w:lang w:val="en-US" w:eastAsia="zh-CN"/>
              </w:rPr>
              <w:t>等等</w:t>
            </w:r>
            <w:r>
              <w:rPr>
                <w:rFonts w:hint="eastAsia"/>
                <w:szCs w:val="21"/>
              </w:rPr>
              <w:t>结论：检查合格</w:t>
            </w:r>
          </w:p>
          <w:p>
            <w:r>
              <w:rPr>
                <w:rFonts w:hint="eastAsia"/>
              </w:rPr>
              <w:t>另抽其他月检查表，符合要求。</w:t>
            </w:r>
          </w:p>
          <w:p>
            <w:pPr>
              <w:rPr>
                <w:rFonts w:hint="eastAsia" w:asciiTheme="minorEastAsia" w:hAnsiTheme="minorEastAsia" w:eastAsiaTheme="minorEastAsia" w:cstheme="minorEastAsia"/>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抽进货检验记录：检验依据：图纸及合同要求，</w:t>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drawing>
                <wp:inline distT="0" distB="0" distL="114300" distR="114300">
                  <wp:extent cx="1885950" cy="2773680"/>
                  <wp:effectExtent l="0" t="0" r="6350" b="7620"/>
                  <wp:docPr id="2" name="图片 2" descr="cf8bb89076b0f3329b663fc2835f6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f8bb89076b0f3329b663fc2835f6d2"/>
                          <pic:cNvPicPr>
                            <a:picLocks noChangeAspect="1"/>
                          </pic:cNvPicPr>
                        </pic:nvPicPr>
                        <pic:blipFill>
                          <a:blip r:embed="rId10"/>
                          <a:stretch>
                            <a:fillRect/>
                          </a:stretch>
                        </pic:blipFill>
                        <pic:spPr>
                          <a:xfrm>
                            <a:off x="0" y="0"/>
                            <a:ext cx="1885950" cy="2773680"/>
                          </a:xfrm>
                          <a:prstGeom prst="rect">
                            <a:avLst/>
                          </a:prstGeom>
                        </pic:spPr>
                      </pic:pic>
                    </a:graphicData>
                  </a:graphic>
                </wp:inline>
              </w:drawing>
            </w:r>
            <w:r>
              <w:rPr>
                <w:rFonts w:hint="eastAsia" w:asciiTheme="minorEastAsia" w:hAnsiTheme="minorEastAsia" w:eastAsiaTheme="minorEastAsia" w:cstheme="minorEastAsia"/>
                <w:szCs w:val="21"/>
                <w:lang w:eastAsia="zh-CN"/>
              </w:rPr>
              <w:drawing>
                <wp:inline distT="0" distB="0" distL="114300" distR="114300">
                  <wp:extent cx="1876425" cy="2759710"/>
                  <wp:effectExtent l="0" t="0" r="3175" b="8890"/>
                  <wp:docPr id="3" name="图片 3" descr="de4ac438a2c95bb02899ac9944fb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e4ac438a2c95bb02899ac9944fb178"/>
                          <pic:cNvPicPr>
                            <a:picLocks noChangeAspect="1"/>
                          </pic:cNvPicPr>
                        </pic:nvPicPr>
                        <pic:blipFill>
                          <a:blip r:embed="rId11"/>
                          <a:stretch>
                            <a:fillRect/>
                          </a:stretch>
                        </pic:blipFill>
                        <pic:spPr>
                          <a:xfrm>
                            <a:off x="0" y="0"/>
                            <a:ext cx="1876425" cy="2759710"/>
                          </a:xfrm>
                          <a:prstGeom prst="rect">
                            <a:avLst/>
                          </a:prstGeom>
                        </pic:spPr>
                      </pic:pic>
                    </a:graphicData>
                  </a:graphic>
                </wp:inline>
              </w:drawing>
            </w:r>
            <w:r>
              <w:rPr>
                <w:rFonts w:hint="eastAsia" w:asciiTheme="minorEastAsia" w:hAnsiTheme="minorEastAsia" w:eastAsiaTheme="minorEastAsia" w:cstheme="minorEastAsia"/>
                <w:szCs w:val="21"/>
                <w:lang w:eastAsia="zh-CN"/>
              </w:rPr>
              <w:drawing>
                <wp:inline distT="0" distB="0" distL="114300" distR="114300">
                  <wp:extent cx="2003425" cy="2672080"/>
                  <wp:effectExtent l="0" t="0" r="3175" b="7620"/>
                  <wp:docPr id="4" name="图片 4" descr="eb59297d87e59d6acf4d9f5bffafc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b59297d87e59d6acf4d9f5bffafc9e"/>
                          <pic:cNvPicPr>
                            <a:picLocks noChangeAspect="1"/>
                          </pic:cNvPicPr>
                        </pic:nvPicPr>
                        <pic:blipFill>
                          <a:blip r:embed="rId12"/>
                          <a:stretch>
                            <a:fillRect/>
                          </a:stretch>
                        </pic:blipFill>
                        <pic:spPr>
                          <a:xfrm>
                            <a:off x="0" y="0"/>
                            <a:ext cx="2003425" cy="2672080"/>
                          </a:xfrm>
                          <a:prstGeom prst="rect">
                            <a:avLst/>
                          </a:prstGeom>
                        </pic:spPr>
                      </pic:pic>
                    </a:graphicData>
                  </a:graphic>
                </wp:inline>
              </w:drawing>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生产过程具体见8.5.1。</w:t>
            </w:r>
          </w:p>
          <w:p>
            <w:pPr>
              <w:rPr>
                <w:rFonts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成品检验：</w:t>
            </w:r>
          </w:p>
          <w:p>
            <w:pPr>
              <w:rPr>
                <w:rFonts w:hint="eastAsia"/>
              </w:rPr>
            </w:pPr>
            <w:r>
              <w:t xml:space="preserve">  </w:t>
            </w:r>
            <w:r>
              <w:drawing>
                <wp:inline distT="0" distB="0" distL="114300" distR="114300">
                  <wp:extent cx="2526030" cy="1344295"/>
                  <wp:effectExtent l="0" t="0" r="1270"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2526030" cy="1344295"/>
                          </a:xfrm>
                          <a:prstGeom prst="rect">
                            <a:avLst/>
                          </a:prstGeom>
                          <a:noFill/>
                          <a:ln>
                            <a:noFill/>
                          </a:ln>
                        </pic:spPr>
                      </pic:pic>
                    </a:graphicData>
                  </a:graphic>
                </wp:inline>
              </w:drawing>
            </w:r>
            <w:r>
              <w:drawing>
                <wp:inline distT="0" distB="0" distL="114300" distR="114300">
                  <wp:extent cx="2498725" cy="1463675"/>
                  <wp:effectExtent l="0" t="0" r="317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2498725" cy="1463675"/>
                          </a:xfrm>
                          <a:prstGeom prst="rect">
                            <a:avLst/>
                          </a:prstGeom>
                          <a:noFill/>
                          <a:ln>
                            <a:noFill/>
                          </a:ln>
                        </pic:spPr>
                      </pic:pic>
                    </a:graphicData>
                  </a:graphic>
                </wp:inline>
              </w:drawing>
            </w:r>
          </w:p>
          <w:p>
            <w:r>
              <w:drawing>
                <wp:inline distT="0" distB="0" distL="114300" distR="114300">
                  <wp:extent cx="2744470" cy="1684020"/>
                  <wp:effectExtent l="0" t="0" r="11430" b="508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2744470" cy="1684020"/>
                          </a:xfrm>
                          <a:prstGeom prst="rect">
                            <a:avLst/>
                          </a:prstGeom>
                          <a:noFill/>
                          <a:ln>
                            <a:noFill/>
                          </a:ln>
                        </pic:spPr>
                      </pic:pic>
                    </a:graphicData>
                  </a:graphic>
                </wp:inline>
              </w:drawing>
            </w:r>
            <w:r>
              <w:drawing>
                <wp:inline distT="0" distB="0" distL="114300" distR="114300">
                  <wp:extent cx="2774950" cy="1499870"/>
                  <wp:effectExtent l="0" t="0" r="6350" b="1143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a:stretch>
                            <a:fillRect/>
                          </a:stretch>
                        </pic:blipFill>
                        <pic:spPr>
                          <a:xfrm>
                            <a:off x="0" y="0"/>
                            <a:ext cx="2774950" cy="1499870"/>
                          </a:xfrm>
                          <a:prstGeom prst="rect">
                            <a:avLst/>
                          </a:prstGeom>
                          <a:noFill/>
                          <a:ln>
                            <a:noFill/>
                          </a:ln>
                        </pic:spPr>
                      </pic:pic>
                    </a:graphicData>
                  </a:graphic>
                </wp:inline>
              </w:drawing>
            </w:r>
          </w:p>
          <w:p>
            <w:pPr>
              <w:rPr>
                <w:rFonts w:hint="eastAsia"/>
              </w:rPr>
            </w:pPr>
            <w:r>
              <w:rPr>
                <w:rFonts w:hint="eastAsia"/>
              </w:rPr>
              <w:t>另抽其他检验记录，符合要求</w:t>
            </w:r>
          </w:p>
          <w:p>
            <w:pPr>
              <w:rPr>
                <w:rFonts w:asciiTheme="minorEastAsia" w:hAnsiTheme="minorEastAsia" w:eastAsiaTheme="minorEastAsia" w:cstheme="minorEastAsia"/>
                <w:szCs w:val="21"/>
              </w:rPr>
            </w:pPr>
          </w:p>
          <w:p>
            <w:pPr>
              <w:adjustRightInd w:val="0"/>
              <w:snapToGrid w:val="0"/>
              <w:spacing w:line="276" w:lineRule="auto"/>
              <w:rPr>
                <w:rFonts w:ascii="宋体" w:hAnsi="宋体"/>
                <w:szCs w:val="21"/>
              </w:rPr>
            </w:pPr>
            <w:r>
              <w:rPr>
                <w:rFonts w:hint="eastAsia" w:asciiTheme="minorEastAsia" w:hAnsiTheme="minorEastAsia" w:eastAsiaTheme="minorEastAsia" w:cstheme="minorEastAsia"/>
                <w:szCs w:val="21"/>
              </w:rPr>
              <w:t>抽第三方检验报告：提供催泪喷射器、金属手铐、警用水壶、伸缩警棍、手动路障、防刺服、枪纲等</w:t>
            </w:r>
            <w:r>
              <w:rPr>
                <w:rFonts w:hint="eastAsia" w:ascii="宋体" w:hAnsi="宋体"/>
                <w:szCs w:val="21"/>
              </w:rPr>
              <w:t>。具体见附件。</w:t>
            </w:r>
          </w:p>
          <w:p>
            <w:pPr>
              <w:tabs>
                <w:tab w:val="center" w:pos="4894"/>
              </w:tabs>
              <w:adjustRightInd w:val="0"/>
              <w:snapToGrid w:val="0"/>
              <w:spacing w:line="276" w:lineRule="auto"/>
              <w:rPr>
                <w:rFonts w:ascii="宋体" w:hAnsi="宋体"/>
                <w:szCs w:val="21"/>
              </w:rPr>
            </w:pPr>
            <w:r>
              <w:rPr>
                <w:rFonts w:hint="eastAsia" w:ascii="宋体" w:hAnsi="宋体"/>
                <w:szCs w:val="21"/>
              </w:rPr>
              <w:t>检验结论：合格</w:t>
            </w:r>
          </w:p>
          <w:p>
            <w:pPr>
              <w:tabs>
                <w:tab w:val="center" w:pos="4894"/>
              </w:tabs>
              <w:adjustRightInd w:val="0"/>
              <w:snapToGrid w:val="0"/>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产品放行受控。</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不合格输出的控制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不合格和纠正措施</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Q8.7</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查有《不合格控制程序》《纠正与预防措施控制程序》，对不合格输出进行识别和控制，防止不合格输出的非预期使用或交付。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询问部门负责人称目前没有不合格的非预期使用情况。未发生投诉所引起的不合格。</w:t>
            </w:r>
          </w:p>
          <w:p>
            <w:pPr>
              <w:rPr>
                <w:rFonts w:asciiTheme="minorEastAsia" w:hAnsiTheme="minorEastAsia" w:eastAsiaTheme="minorEastAsia" w:cstheme="minorEastAsia"/>
                <w:szCs w:val="21"/>
              </w:rPr>
            </w:pPr>
            <w:bookmarkStart w:id="1" w:name="_GoBack"/>
            <w:bookmarkEnd w:id="1"/>
            <w:r>
              <w:rPr>
                <w:rFonts w:hint="eastAsia" w:asciiTheme="minorEastAsia" w:hAnsiTheme="minorEastAsia" w:eastAsiaTheme="minorEastAsia" w:cstheme="minorEastAsia"/>
                <w:szCs w:val="21"/>
              </w:rPr>
              <w:t>针对内审中发现的不合格，采取了纠正措施，并进行验证合格。询问部门负责人称服务过程中未发现严重不合格或同类不合格屡次发生情况，因此未采取纠正措施。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目前风险和机遇无需更新，质量管理体系无需变更。</w:t>
            </w: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不符合纠正措施</w:t>
            </w:r>
          </w:p>
        </w:tc>
        <w:tc>
          <w:tcPr>
            <w:tcW w:w="960" w:type="dxa"/>
            <w:vAlign w:val="center"/>
          </w:tcPr>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QE10.2</w:t>
            </w:r>
          </w:p>
          <w:p>
            <w:pPr>
              <w:spacing w:line="276" w:lineRule="auto"/>
              <w:jc w:val="left"/>
              <w:rPr>
                <w:rFonts w:asciiTheme="minorEastAsia" w:hAnsiTheme="minorEastAsia" w:eastAsiaTheme="minorEastAsia"/>
                <w:szCs w:val="21"/>
              </w:rPr>
            </w:pPr>
          </w:p>
        </w:tc>
        <w:tc>
          <w:tcPr>
            <w:tcW w:w="10004" w:type="dxa"/>
            <w:vAlign w:val="center"/>
          </w:tcPr>
          <w:p>
            <w:pPr>
              <w:spacing w:line="27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企业相关责任部门对职责分工范围内不合格产生的原因进行分析，并针对原因制定相应的纠正和纠正措施.</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1、综合部有针对本年度内审中发现的不合格项，相关责任部门对不合格的原因制定了相应的纠正和纠正措施。</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2、综合部有对顾客反馈（含投诉）及时制定相应的纠正和纠正措施</w:t>
            </w:r>
          </w:p>
          <w:p>
            <w:pPr>
              <w:spacing w:line="276" w:lineRule="auto"/>
              <w:jc w:val="left"/>
              <w:rPr>
                <w:rFonts w:asciiTheme="minorEastAsia" w:hAnsiTheme="minorEastAsia" w:eastAsiaTheme="minorEastAsia"/>
                <w:szCs w:val="21"/>
              </w:rPr>
            </w:pPr>
            <w:r>
              <w:rPr>
                <w:rFonts w:hint="eastAsia" w:asciiTheme="minorEastAsia" w:hAnsiTheme="minorEastAsia" w:eastAsiaTheme="minorEastAsia"/>
                <w:szCs w:val="21"/>
              </w:rPr>
              <w:t>3、生产部有对销售和服务过程中发现的不合格、以及采购和销售产品质量不合格制定相应纠正和纠正措施。</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产品和销售和服务过程监视和测量过程中有导入风险思维，主要有通过加强员工培训，加大监督和检查力度等措施，以达到预防措施的目的。</w:t>
            </w:r>
          </w:p>
          <w:p>
            <w:pPr>
              <w:spacing w:line="276" w:lineRule="auto"/>
              <w:rPr>
                <w:rFonts w:cs="宋体" w:asciiTheme="minorEastAsia" w:hAnsiTheme="minorEastAsia" w:eastAsiaTheme="minorEastAsia"/>
                <w:szCs w:val="21"/>
              </w:rPr>
            </w:pPr>
          </w:p>
        </w:tc>
        <w:tc>
          <w:tcPr>
            <w:tcW w:w="1585" w:type="dxa"/>
          </w:tcPr>
          <w:p>
            <w:pPr>
              <w:spacing w:line="276"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Y</w:t>
            </w:r>
          </w:p>
        </w:tc>
      </w:tr>
    </w:tbl>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A3F67"/>
    <w:multiLevelType w:val="multilevel"/>
    <w:tmpl w:val="035A3F67"/>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00428C"/>
    <w:multiLevelType w:val="multilevel"/>
    <w:tmpl w:val="2F0042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F01CF7"/>
    <w:multiLevelType w:val="multilevel"/>
    <w:tmpl w:val="3BF01CF7"/>
    <w:lvl w:ilvl="0" w:tentative="0">
      <w:start w:val="1"/>
      <w:numFmt w:val="decimal"/>
      <w:lvlText w:val="%1、"/>
      <w:lvlJc w:val="left"/>
      <w:pPr>
        <w:ind w:left="570" w:hanging="360"/>
      </w:pPr>
      <w:rPr>
        <w:rFonts w:ascii="宋体" w:hAnsi="宋体" w:eastAsia="宋体" w:cs="Times New Roman"/>
        <w:b/>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3">
    <w:nsid w:val="57B66F4D"/>
    <w:multiLevelType w:val="singleLevel"/>
    <w:tmpl w:val="57B66F4D"/>
    <w:lvl w:ilvl="0" w:tentative="0">
      <w:start w:val="4"/>
      <w:numFmt w:val="decimal"/>
      <w:suff w:val="nothing"/>
      <w:lvlText w:val="%1、"/>
      <w:lvlJc w:val="left"/>
    </w:lvl>
  </w:abstractNum>
  <w:abstractNum w:abstractNumId="4">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973B4"/>
    <w:rsid w:val="000237F6"/>
    <w:rsid w:val="0003373A"/>
    <w:rsid w:val="000400E2"/>
    <w:rsid w:val="00054618"/>
    <w:rsid w:val="000613A2"/>
    <w:rsid w:val="00062E46"/>
    <w:rsid w:val="000678E0"/>
    <w:rsid w:val="000C57C0"/>
    <w:rsid w:val="000D565E"/>
    <w:rsid w:val="00105B4C"/>
    <w:rsid w:val="001625B1"/>
    <w:rsid w:val="001835A6"/>
    <w:rsid w:val="001963EE"/>
    <w:rsid w:val="001A2D7F"/>
    <w:rsid w:val="00210CA6"/>
    <w:rsid w:val="002234EC"/>
    <w:rsid w:val="002613E4"/>
    <w:rsid w:val="002617CA"/>
    <w:rsid w:val="00263F89"/>
    <w:rsid w:val="002939AD"/>
    <w:rsid w:val="002C1023"/>
    <w:rsid w:val="002C3672"/>
    <w:rsid w:val="002F3877"/>
    <w:rsid w:val="0032305A"/>
    <w:rsid w:val="00337922"/>
    <w:rsid w:val="00340867"/>
    <w:rsid w:val="003701B9"/>
    <w:rsid w:val="00380837"/>
    <w:rsid w:val="00386BFB"/>
    <w:rsid w:val="003A198A"/>
    <w:rsid w:val="003C18A7"/>
    <w:rsid w:val="003C5678"/>
    <w:rsid w:val="003D0316"/>
    <w:rsid w:val="003E7746"/>
    <w:rsid w:val="00410914"/>
    <w:rsid w:val="0041344E"/>
    <w:rsid w:val="004668D2"/>
    <w:rsid w:val="004A2790"/>
    <w:rsid w:val="00514EAE"/>
    <w:rsid w:val="00536930"/>
    <w:rsid w:val="00553E21"/>
    <w:rsid w:val="00564E53"/>
    <w:rsid w:val="0059434A"/>
    <w:rsid w:val="005D5659"/>
    <w:rsid w:val="005F2F38"/>
    <w:rsid w:val="005F3D11"/>
    <w:rsid w:val="00600C20"/>
    <w:rsid w:val="00607F11"/>
    <w:rsid w:val="00617590"/>
    <w:rsid w:val="006407DD"/>
    <w:rsid w:val="00644FE2"/>
    <w:rsid w:val="0065022C"/>
    <w:rsid w:val="00655F4D"/>
    <w:rsid w:val="0067640C"/>
    <w:rsid w:val="0068254A"/>
    <w:rsid w:val="006857BC"/>
    <w:rsid w:val="006E678B"/>
    <w:rsid w:val="006F09D3"/>
    <w:rsid w:val="007232F2"/>
    <w:rsid w:val="0074023E"/>
    <w:rsid w:val="00743328"/>
    <w:rsid w:val="007757F3"/>
    <w:rsid w:val="00781B38"/>
    <w:rsid w:val="007B6961"/>
    <w:rsid w:val="007E6AEB"/>
    <w:rsid w:val="00802F0C"/>
    <w:rsid w:val="00805BFF"/>
    <w:rsid w:val="00820209"/>
    <w:rsid w:val="00822691"/>
    <w:rsid w:val="00832347"/>
    <w:rsid w:val="00846A5B"/>
    <w:rsid w:val="00851C61"/>
    <w:rsid w:val="008973EE"/>
    <w:rsid w:val="008F6699"/>
    <w:rsid w:val="00971600"/>
    <w:rsid w:val="009973B4"/>
    <w:rsid w:val="009C28C1"/>
    <w:rsid w:val="009F7EED"/>
    <w:rsid w:val="00A0554F"/>
    <w:rsid w:val="00A22676"/>
    <w:rsid w:val="00A42B17"/>
    <w:rsid w:val="00A80636"/>
    <w:rsid w:val="00A92E41"/>
    <w:rsid w:val="00AF0AAB"/>
    <w:rsid w:val="00B3179F"/>
    <w:rsid w:val="00B72EBB"/>
    <w:rsid w:val="00BB28CD"/>
    <w:rsid w:val="00BF597E"/>
    <w:rsid w:val="00C51A36"/>
    <w:rsid w:val="00C55228"/>
    <w:rsid w:val="00CB25D6"/>
    <w:rsid w:val="00CC6453"/>
    <w:rsid w:val="00CE1308"/>
    <w:rsid w:val="00CE315A"/>
    <w:rsid w:val="00CE4326"/>
    <w:rsid w:val="00CF7257"/>
    <w:rsid w:val="00D05652"/>
    <w:rsid w:val="00D06888"/>
    <w:rsid w:val="00D06F59"/>
    <w:rsid w:val="00D07777"/>
    <w:rsid w:val="00D24057"/>
    <w:rsid w:val="00D455A0"/>
    <w:rsid w:val="00D57E0F"/>
    <w:rsid w:val="00D61C6D"/>
    <w:rsid w:val="00D65E46"/>
    <w:rsid w:val="00D8388C"/>
    <w:rsid w:val="00DD2E21"/>
    <w:rsid w:val="00DD43A8"/>
    <w:rsid w:val="00E1479C"/>
    <w:rsid w:val="00E62211"/>
    <w:rsid w:val="00E6224C"/>
    <w:rsid w:val="00EB0164"/>
    <w:rsid w:val="00ED0F62"/>
    <w:rsid w:val="00F1103D"/>
    <w:rsid w:val="00F7569A"/>
    <w:rsid w:val="00F8794D"/>
    <w:rsid w:val="00FA6C8C"/>
    <w:rsid w:val="00FB201D"/>
    <w:rsid w:val="00FD03DE"/>
    <w:rsid w:val="01042C74"/>
    <w:rsid w:val="01510FA5"/>
    <w:rsid w:val="019C6A8D"/>
    <w:rsid w:val="01E33C4D"/>
    <w:rsid w:val="01EE28A6"/>
    <w:rsid w:val="020907A2"/>
    <w:rsid w:val="021D253D"/>
    <w:rsid w:val="026C6A6A"/>
    <w:rsid w:val="03323971"/>
    <w:rsid w:val="03626FE1"/>
    <w:rsid w:val="03E753ED"/>
    <w:rsid w:val="049421F4"/>
    <w:rsid w:val="04EB0176"/>
    <w:rsid w:val="050C4BF3"/>
    <w:rsid w:val="052206B6"/>
    <w:rsid w:val="05255AE3"/>
    <w:rsid w:val="054E4FCC"/>
    <w:rsid w:val="055F6E9A"/>
    <w:rsid w:val="056A1970"/>
    <w:rsid w:val="069F7F76"/>
    <w:rsid w:val="070005FD"/>
    <w:rsid w:val="070139F0"/>
    <w:rsid w:val="070A3BA3"/>
    <w:rsid w:val="071A2561"/>
    <w:rsid w:val="071B19A1"/>
    <w:rsid w:val="075A3E7C"/>
    <w:rsid w:val="07EA4F37"/>
    <w:rsid w:val="082A2E05"/>
    <w:rsid w:val="09073CF6"/>
    <w:rsid w:val="09371464"/>
    <w:rsid w:val="09AB2B1C"/>
    <w:rsid w:val="09AC09B1"/>
    <w:rsid w:val="09B732C4"/>
    <w:rsid w:val="09C47667"/>
    <w:rsid w:val="0A1F03DE"/>
    <w:rsid w:val="0A3259D3"/>
    <w:rsid w:val="0A7937BC"/>
    <w:rsid w:val="0A9253D0"/>
    <w:rsid w:val="0AA92349"/>
    <w:rsid w:val="0ADA6025"/>
    <w:rsid w:val="0B1815BD"/>
    <w:rsid w:val="0B7038A1"/>
    <w:rsid w:val="0B775A55"/>
    <w:rsid w:val="0C43031C"/>
    <w:rsid w:val="0C6D6369"/>
    <w:rsid w:val="0C913B01"/>
    <w:rsid w:val="0D217212"/>
    <w:rsid w:val="0D60372D"/>
    <w:rsid w:val="0D70240E"/>
    <w:rsid w:val="0D84094C"/>
    <w:rsid w:val="0DB96E39"/>
    <w:rsid w:val="0DBB3EBC"/>
    <w:rsid w:val="0DDE279B"/>
    <w:rsid w:val="0E275CD2"/>
    <w:rsid w:val="0E341146"/>
    <w:rsid w:val="0E4303A2"/>
    <w:rsid w:val="0E4618B4"/>
    <w:rsid w:val="0EC102DC"/>
    <w:rsid w:val="0F92130F"/>
    <w:rsid w:val="103537E1"/>
    <w:rsid w:val="105416D3"/>
    <w:rsid w:val="10637B2D"/>
    <w:rsid w:val="108219C2"/>
    <w:rsid w:val="10F820F6"/>
    <w:rsid w:val="115076EC"/>
    <w:rsid w:val="117A66D5"/>
    <w:rsid w:val="119329DD"/>
    <w:rsid w:val="119C5412"/>
    <w:rsid w:val="11F00816"/>
    <w:rsid w:val="12312D28"/>
    <w:rsid w:val="12601E2D"/>
    <w:rsid w:val="127238D0"/>
    <w:rsid w:val="1297338A"/>
    <w:rsid w:val="12B216B3"/>
    <w:rsid w:val="12E0447F"/>
    <w:rsid w:val="133415EC"/>
    <w:rsid w:val="133D616B"/>
    <w:rsid w:val="13747F35"/>
    <w:rsid w:val="13A46E66"/>
    <w:rsid w:val="13A87D82"/>
    <w:rsid w:val="13D55946"/>
    <w:rsid w:val="141F058D"/>
    <w:rsid w:val="142B1BF7"/>
    <w:rsid w:val="147F1406"/>
    <w:rsid w:val="148904FB"/>
    <w:rsid w:val="148A489E"/>
    <w:rsid w:val="14ED1F33"/>
    <w:rsid w:val="14EF5EDD"/>
    <w:rsid w:val="15D96E1D"/>
    <w:rsid w:val="162967E9"/>
    <w:rsid w:val="16E63214"/>
    <w:rsid w:val="17383EE4"/>
    <w:rsid w:val="1774433F"/>
    <w:rsid w:val="181562EC"/>
    <w:rsid w:val="188F59D0"/>
    <w:rsid w:val="18D07CDA"/>
    <w:rsid w:val="19444BC5"/>
    <w:rsid w:val="19870C1B"/>
    <w:rsid w:val="19906DAF"/>
    <w:rsid w:val="19E66968"/>
    <w:rsid w:val="19F05E4B"/>
    <w:rsid w:val="19F265FC"/>
    <w:rsid w:val="19F85B85"/>
    <w:rsid w:val="1A070927"/>
    <w:rsid w:val="1A2D6077"/>
    <w:rsid w:val="1A654B32"/>
    <w:rsid w:val="1A7576A5"/>
    <w:rsid w:val="1A8F0731"/>
    <w:rsid w:val="1B100A44"/>
    <w:rsid w:val="1B9D7B2D"/>
    <w:rsid w:val="1BED74EC"/>
    <w:rsid w:val="1BF129D3"/>
    <w:rsid w:val="1C3B07DB"/>
    <w:rsid w:val="1C6762AB"/>
    <w:rsid w:val="1C817C9C"/>
    <w:rsid w:val="1CA11818"/>
    <w:rsid w:val="1D0763BB"/>
    <w:rsid w:val="1D345C66"/>
    <w:rsid w:val="1D3E4542"/>
    <w:rsid w:val="1D855CE6"/>
    <w:rsid w:val="1DB54BE1"/>
    <w:rsid w:val="1E750783"/>
    <w:rsid w:val="1EA36164"/>
    <w:rsid w:val="1EA81849"/>
    <w:rsid w:val="1F1814C6"/>
    <w:rsid w:val="1F4A4161"/>
    <w:rsid w:val="1F522262"/>
    <w:rsid w:val="1F653CF3"/>
    <w:rsid w:val="1F6A17EF"/>
    <w:rsid w:val="204E2609"/>
    <w:rsid w:val="20584AAC"/>
    <w:rsid w:val="206B7147"/>
    <w:rsid w:val="208F32A1"/>
    <w:rsid w:val="20AF392B"/>
    <w:rsid w:val="20BF7262"/>
    <w:rsid w:val="20DD7042"/>
    <w:rsid w:val="20F34B18"/>
    <w:rsid w:val="21101D65"/>
    <w:rsid w:val="21927DA9"/>
    <w:rsid w:val="21A66530"/>
    <w:rsid w:val="21D249A3"/>
    <w:rsid w:val="21D8530D"/>
    <w:rsid w:val="228B38DE"/>
    <w:rsid w:val="22E5247B"/>
    <w:rsid w:val="22F70A8F"/>
    <w:rsid w:val="23305236"/>
    <w:rsid w:val="239B42F7"/>
    <w:rsid w:val="23F62C69"/>
    <w:rsid w:val="24AA2E21"/>
    <w:rsid w:val="24B711A6"/>
    <w:rsid w:val="24E35748"/>
    <w:rsid w:val="24E96536"/>
    <w:rsid w:val="252E6B75"/>
    <w:rsid w:val="255271FC"/>
    <w:rsid w:val="25DB4C63"/>
    <w:rsid w:val="26236354"/>
    <w:rsid w:val="26445758"/>
    <w:rsid w:val="26510F8A"/>
    <w:rsid w:val="26824C54"/>
    <w:rsid w:val="26C75CDA"/>
    <w:rsid w:val="26CA22DB"/>
    <w:rsid w:val="26DD342E"/>
    <w:rsid w:val="27220079"/>
    <w:rsid w:val="2726636D"/>
    <w:rsid w:val="276D36FB"/>
    <w:rsid w:val="27EE2F65"/>
    <w:rsid w:val="2883683E"/>
    <w:rsid w:val="28CF4FF6"/>
    <w:rsid w:val="28DD0C4A"/>
    <w:rsid w:val="28E772DC"/>
    <w:rsid w:val="2980197B"/>
    <w:rsid w:val="29DC2E91"/>
    <w:rsid w:val="2A2D5D25"/>
    <w:rsid w:val="2A3207E1"/>
    <w:rsid w:val="2A840A97"/>
    <w:rsid w:val="2ACB6205"/>
    <w:rsid w:val="2B0B4617"/>
    <w:rsid w:val="2B0B6D6E"/>
    <w:rsid w:val="2B2F0414"/>
    <w:rsid w:val="2B3E20A1"/>
    <w:rsid w:val="2B643790"/>
    <w:rsid w:val="2B957123"/>
    <w:rsid w:val="2BA56594"/>
    <w:rsid w:val="2BA605FA"/>
    <w:rsid w:val="2BC51293"/>
    <w:rsid w:val="2C4357B1"/>
    <w:rsid w:val="2CBE1BB2"/>
    <w:rsid w:val="2CE915C6"/>
    <w:rsid w:val="2DC40A94"/>
    <w:rsid w:val="2DE578C2"/>
    <w:rsid w:val="2DF958EB"/>
    <w:rsid w:val="2E4968E5"/>
    <w:rsid w:val="2F1934D2"/>
    <w:rsid w:val="2F250403"/>
    <w:rsid w:val="2F3245B9"/>
    <w:rsid w:val="2F4F3FD3"/>
    <w:rsid w:val="2FC344D5"/>
    <w:rsid w:val="305C7F97"/>
    <w:rsid w:val="30602B6B"/>
    <w:rsid w:val="30C74142"/>
    <w:rsid w:val="311568F9"/>
    <w:rsid w:val="31332819"/>
    <w:rsid w:val="318B572F"/>
    <w:rsid w:val="31C06880"/>
    <w:rsid w:val="31FE535C"/>
    <w:rsid w:val="320F6E74"/>
    <w:rsid w:val="322038BB"/>
    <w:rsid w:val="32AC2E63"/>
    <w:rsid w:val="33BA56DE"/>
    <w:rsid w:val="33CB5009"/>
    <w:rsid w:val="342715DD"/>
    <w:rsid w:val="34453389"/>
    <w:rsid w:val="348E365B"/>
    <w:rsid w:val="34DF763C"/>
    <w:rsid w:val="34EA135A"/>
    <w:rsid w:val="351E3BFB"/>
    <w:rsid w:val="35C603C2"/>
    <w:rsid w:val="35EC5CE3"/>
    <w:rsid w:val="361F1AEB"/>
    <w:rsid w:val="362425FB"/>
    <w:rsid w:val="365A4094"/>
    <w:rsid w:val="378B3EBE"/>
    <w:rsid w:val="37BF1894"/>
    <w:rsid w:val="37C359FA"/>
    <w:rsid w:val="382326DD"/>
    <w:rsid w:val="38721F23"/>
    <w:rsid w:val="387F68D9"/>
    <w:rsid w:val="38953137"/>
    <w:rsid w:val="389945FB"/>
    <w:rsid w:val="38AE449A"/>
    <w:rsid w:val="38BE5A0B"/>
    <w:rsid w:val="39150788"/>
    <w:rsid w:val="395D186A"/>
    <w:rsid w:val="39794BE7"/>
    <w:rsid w:val="399523BC"/>
    <w:rsid w:val="39FA6CCC"/>
    <w:rsid w:val="3A3D6B3F"/>
    <w:rsid w:val="3A711B0F"/>
    <w:rsid w:val="3A821AD8"/>
    <w:rsid w:val="3A8D674A"/>
    <w:rsid w:val="3BBE4833"/>
    <w:rsid w:val="3BC82F1D"/>
    <w:rsid w:val="3BEF7442"/>
    <w:rsid w:val="3C063CBA"/>
    <w:rsid w:val="3C737C9F"/>
    <w:rsid w:val="3C756417"/>
    <w:rsid w:val="3CFA2384"/>
    <w:rsid w:val="3CFE0667"/>
    <w:rsid w:val="3D605C0E"/>
    <w:rsid w:val="3D6A60A4"/>
    <w:rsid w:val="3DC33121"/>
    <w:rsid w:val="3E624001"/>
    <w:rsid w:val="3E927C88"/>
    <w:rsid w:val="3EA74E77"/>
    <w:rsid w:val="3EF61A21"/>
    <w:rsid w:val="3F23212B"/>
    <w:rsid w:val="3FBF631B"/>
    <w:rsid w:val="3FC92BA3"/>
    <w:rsid w:val="40711587"/>
    <w:rsid w:val="40A62B91"/>
    <w:rsid w:val="40DF045B"/>
    <w:rsid w:val="412324F3"/>
    <w:rsid w:val="412D5EB6"/>
    <w:rsid w:val="41B95DF1"/>
    <w:rsid w:val="41D373B5"/>
    <w:rsid w:val="42583A6D"/>
    <w:rsid w:val="428A732C"/>
    <w:rsid w:val="42B662C2"/>
    <w:rsid w:val="43204DD1"/>
    <w:rsid w:val="435E5A63"/>
    <w:rsid w:val="43711C1A"/>
    <w:rsid w:val="43D15FEE"/>
    <w:rsid w:val="44247BD3"/>
    <w:rsid w:val="445D5DF6"/>
    <w:rsid w:val="44627689"/>
    <w:rsid w:val="44D478D9"/>
    <w:rsid w:val="44FD443C"/>
    <w:rsid w:val="450001D7"/>
    <w:rsid w:val="459C78DA"/>
    <w:rsid w:val="45AF1E46"/>
    <w:rsid w:val="461A7E56"/>
    <w:rsid w:val="46283692"/>
    <w:rsid w:val="463F1855"/>
    <w:rsid w:val="46A03299"/>
    <w:rsid w:val="471D6854"/>
    <w:rsid w:val="4736503E"/>
    <w:rsid w:val="47CA4297"/>
    <w:rsid w:val="47E3684B"/>
    <w:rsid w:val="47FC5350"/>
    <w:rsid w:val="48327AC3"/>
    <w:rsid w:val="486022E7"/>
    <w:rsid w:val="488A2B14"/>
    <w:rsid w:val="489F6FC8"/>
    <w:rsid w:val="48C85BA6"/>
    <w:rsid w:val="48F8689C"/>
    <w:rsid w:val="49315058"/>
    <w:rsid w:val="495B6A69"/>
    <w:rsid w:val="497242E9"/>
    <w:rsid w:val="4A052376"/>
    <w:rsid w:val="4A0D51F6"/>
    <w:rsid w:val="4A7A6462"/>
    <w:rsid w:val="4A8171B5"/>
    <w:rsid w:val="4AAC016C"/>
    <w:rsid w:val="4AB83D6E"/>
    <w:rsid w:val="4AC358AF"/>
    <w:rsid w:val="4B845C08"/>
    <w:rsid w:val="4BBD4FA9"/>
    <w:rsid w:val="4CA02ED2"/>
    <w:rsid w:val="4D127808"/>
    <w:rsid w:val="4DA2694B"/>
    <w:rsid w:val="4DE23EA0"/>
    <w:rsid w:val="4E161784"/>
    <w:rsid w:val="4E2316DA"/>
    <w:rsid w:val="4E311084"/>
    <w:rsid w:val="4EAB57E2"/>
    <w:rsid w:val="4F393EF6"/>
    <w:rsid w:val="4F3D12E0"/>
    <w:rsid w:val="4F613F79"/>
    <w:rsid w:val="4F87066B"/>
    <w:rsid w:val="4FC91C7B"/>
    <w:rsid w:val="4FDD29D3"/>
    <w:rsid w:val="4FF33A68"/>
    <w:rsid w:val="5047727B"/>
    <w:rsid w:val="507F618E"/>
    <w:rsid w:val="50A27655"/>
    <w:rsid w:val="50D91E9A"/>
    <w:rsid w:val="51396AB6"/>
    <w:rsid w:val="514445B0"/>
    <w:rsid w:val="51D67F45"/>
    <w:rsid w:val="52617929"/>
    <w:rsid w:val="52802298"/>
    <w:rsid w:val="52983570"/>
    <w:rsid w:val="52C73A20"/>
    <w:rsid w:val="52ED64AC"/>
    <w:rsid w:val="535376B2"/>
    <w:rsid w:val="53A42E1E"/>
    <w:rsid w:val="53A67598"/>
    <w:rsid w:val="53D95CD8"/>
    <w:rsid w:val="53EF58D0"/>
    <w:rsid w:val="544344CE"/>
    <w:rsid w:val="548C1EB9"/>
    <w:rsid w:val="550F313F"/>
    <w:rsid w:val="5562657F"/>
    <w:rsid w:val="55936E57"/>
    <w:rsid w:val="55B0174B"/>
    <w:rsid w:val="55B1175F"/>
    <w:rsid w:val="55B41D79"/>
    <w:rsid w:val="560E6DB3"/>
    <w:rsid w:val="56250636"/>
    <w:rsid w:val="56497FFB"/>
    <w:rsid w:val="56833F45"/>
    <w:rsid w:val="56A2241D"/>
    <w:rsid w:val="574B2F3F"/>
    <w:rsid w:val="57A1245A"/>
    <w:rsid w:val="57B06A15"/>
    <w:rsid w:val="57F76575"/>
    <w:rsid w:val="58005818"/>
    <w:rsid w:val="589E2893"/>
    <w:rsid w:val="59024377"/>
    <w:rsid w:val="59370514"/>
    <w:rsid w:val="59404F9B"/>
    <w:rsid w:val="597C2A97"/>
    <w:rsid w:val="598F65BC"/>
    <w:rsid w:val="59B55D1E"/>
    <w:rsid w:val="5A217ACC"/>
    <w:rsid w:val="5A322BED"/>
    <w:rsid w:val="5A500A9A"/>
    <w:rsid w:val="5A706149"/>
    <w:rsid w:val="5B073D0D"/>
    <w:rsid w:val="5B293FF2"/>
    <w:rsid w:val="5B6B4B23"/>
    <w:rsid w:val="5BC81CAA"/>
    <w:rsid w:val="5C394E8B"/>
    <w:rsid w:val="5CCB3744"/>
    <w:rsid w:val="5CE86257"/>
    <w:rsid w:val="5CFA6F14"/>
    <w:rsid w:val="5D152480"/>
    <w:rsid w:val="5D1956E8"/>
    <w:rsid w:val="5D1A5DE4"/>
    <w:rsid w:val="5D7C16F2"/>
    <w:rsid w:val="5D882B8D"/>
    <w:rsid w:val="5DC3559A"/>
    <w:rsid w:val="5E0164E2"/>
    <w:rsid w:val="5E2E11A7"/>
    <w:rsid w:val="5E430486"/>
    <w:rsid w:val="5EA12B9A"/>
    <w:rsid w:val="5EBB2B5D"/>
    <w:rsid w:val="5F1860E6"/>
    <w:rsid w:val="5FC26B2F"/>
    <w:rsid w:val="5FF20093"/>
    <w:rsid w:val="602D247A"/>
    <w:rsid w:val="60935DF6"/>
    <w:rsid w:val="61023A79"/>
    <w:rsid w:val="615D0534"/>
    <w:rsid w:val="61B33300"/>
    <w:rsid w:val="622906B1"/>
    <w:rsid w:val="624A3EE5"/>
    <w:rsid w:val="629043C4"/>
    <w:rsid w:val="62EA7308"/>
    <w:rsid w:val="63206154"/>
    <w:rsid w:val="63267E75"/>
    <w:rsid w:val="63865EE4"/>
    <w:rsid w:val="63CB61DC"/>
    <w:rsid w:val="6416605A"/>
    <w:rsid w:val="64661345"/>
    <w:rsid w:val="64BB75E7"/>
    <w:rsid w:val="65D37E05"/>
    <w:rsid w:val="66014629"/>
    <w:rsid w:val="661B258A"/>
    <w:rsid w:val="661D2F50"/>
    <w:rsid w:val="66904F54"/>
    <w:rsid w:val="67993C7D"/>
    <w:rsid w:val="67BE6A43"/>
    <w:rsid w:val="67DF5F2E"/>
    <w:rsid w:val="67E6387A"/>
    <w:rsid w:val="68456497"/>
    <w:rsid w:val="688E30A6"/>
    <w:rsid w:val="68984522"/>
    <w:rsid w:val="68B33A05"/>
    <w:rsid w:val="68CB181C"/>
    <w:rsid w:val="68CC4DAF"/>
    <w:rsid w:val="69BE1F87"/>
    <w:rsid w:val="69FE5799"/>
    <w:rsid w:val="6A4064B9"/>
    <w:rsid w:val="6AC75506"/>
    <w:rsid w:val="6B2E30BE"/>
    <w:rsid w:val="6B836E75"/>
    <w:rsid w:val="6BB76BC6"/>
    <w:rsid w:val="6C0551BE"/>
    <w:rsid w:val="6CE82AD0"/>
    <w:rsid w:val="6D120209"/>
    <w:rsid w:val="6D1A6B53"/>
    <w:rsid w:val="6D1D51A1"/>
    <w:rsid w:val="6D246DB0"/>
    <w:rsid w:val="6D7C31BF"/>
    <w:rsid w:val="6DFD4755"/>
    <w:rsid w:val="6E3606AC"/>
    <w:rsid w:val="6F0F1F26"/>
    <w:rsid w:val="6F291EB2"/>
    <w:rsid w:val="6F4A3DB2"/>
    <w:rsid w:val="6F9470CE"/>
    <w:rsid w:val="6FDB1BFF"/>
    <w:rsid w:val="6FF62773"/>
    <w:rsid w:val="700B5B39"/>
    <w:rsid w:val="70436319"/>
    <w:rsid w:val="705C4AD1"/>
    <w:rsid w:val="70CF3332"/>
    <w:rsid w:val="70F15391"/>
    <w:rsid w:val="7103036C"/>
    <w:rsid w:val="71136818"/>
    <w:rsid w:val="71357966"/>
    <w:rsid w:val="717C6C84"/>
    <w:rsid w:val="71D531AF"/>
    <w:rsid w:val="72A962D5"/>
    <w:rsid w:val="72B83E10"/>
    <w:rsid w:val="730809CA"/>
    <w:rsid w:val="731514C2"/>
    <w:rsid w:val="73F9212C"/>
    <w:rsid w:val="744E6D88"/>
    <w:rsid w:val="74773551"/>
    <w:rsid w:val="748D539D"/>
    <w:rsid w:val="74AF2651"/>
    <w:rsid w:val="75496799"/>
    <w:rsid w:val="760D5EFA"/>
    <w:rsid w:val="762613D1"/>
    <w:rsid w:val="763A0C86"/>
    <w:rsid w:val="76453363"/>
    <w:rsid w:val="76727A0C"/>
    <w:rsid w:val="76DF12EE"/>
    <w:rsid w:val="76E767FC"/>
    <w:rsid w:val="77695F09"/>
    <w:rsid w:val="77D51B2B"/>
    <w:rsid w:val="780D7483"/>
    <w:rsid w:val="78262CAA"/>
    <w:rsid w:val="783346F1"/>
    <w:rsid w:val="78361422"/>
    <w:rsid w:val="78631716"/>
    <w:rsid w:val="786C485B"/>
    <w:rsid w:val="78EF6FAC"/>
    <w:rsid w:val="79763286"/>
    <w:rsid w:val="79BD59E8"/>
    <w:rsid w:val="7A0229E4"/>
    <w:rsid w:val="7A267098"/>
    <w:rsid w:val="7A750BA6"/>
    <w:rsid w:val="7A762121"/>
    <w:rsid w:val="7A9B57D3"/>
    <w:rsid w:val="7ABD1791"/>
    <w:rsid w:val="7AC500A0"/>
    <w:rsid w:val="7AD67B92"/>
    <w:rsid w:val="7B410FAC"/>
    <w:rsid w:val="7BAE3CD5"/>
    <w:rsid w:val="7C15009D"/>
    <w:rsid w:val="7C7C20DF"/>
    <w:rsid w:val="7D3C780F"/>
    <w:rsid w:val="7DAE7D90"/>
    <w:rsid w:val="7DCF05BE"/>
    <w:rsid w:val="7E0972CB"/>
    <w:rsid w:val="7E215820"/>
    <w:rsid w:val="7E38729C"/>
    <w:rsid w:val="7E501A6F"/>
    <w:rsid w:val="7ECD6E90"/>
    <w:rsid w:val="7F2367D4"/>
    <w:rsid w:val="7F3F4F0E"/>
    <w:rsid w:val="7F603DFD"/>
    <w:rsid w:val="7FBB3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9"/>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toc 3"/>
    <w:basedOn w:val="1"/>
    <w:next w:val="1"/>
    <w:qFormat/>
    <w:uiPriority w:val="0"/>
    <w:pPr>
      <w:ind w:left="840" w:leftChars="400"/>
      <w:jc w:val="both"/>
    </w:pPr>
    <w:rPr>
      <w:rFonts w:ascii="Calibri" w:hAnsi="Calibri" w:eastAsia="宋体" w:cs="Calibri"/>
      <w:iCs/>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link w:val="1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Default Char"/>
    <w:link w:val="14"/>
    <w:qFormat/>
    <w:uiPriority w:val="0"/>
    <w:rPr>
      <w:rFonts w:ascii="宋体" w:cs="宋体"/>
      <w:color w:val="000000"/>
      <w:sz w:val="24"/>
      <w:szCs w:val="24"/>
    </w:rPr>
  </w:style>
  <w:style w:type="paragraph" w:styleId="16">
    <w:name w:val="List Paragraph"/>
    <w:basedOn w:val="1"/>
    <w:qFormat/>
    <w:uiPriority w:val="34"/>
    <w:pPr>
      <w:ind w:firstLine="420" w:firstLineChars="200"/>
    </w:pPr>
    <w:rPr>
      <w:szCs w:val="21"/>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24CAA9-B471-4041-B9AB-22E679E38E39}">
  <ds:schemaRefs/>
</ds:datastoreItem>
</file>

<file path=docProps/app.xml><?xml version="1.0" encoding="utf-8"?>
<Properties xmlns="http://schemas.openxmlformats.org/officeDocument/2006/extended-properties" xmlns:vt="http://schemas.openxmlformats.org/officeDocument/2006/docPropsVTypes">
  <Template>Normal</Template>
  <Pages>35</Pages>
  <Words>4009</Words>
  <Characters>22852</Characters>
  <Lines>190</Lines>
  <Paragraphs>53</Paragraphs>
  <TotalTime>1</TotalTime>
  <ScaleCrop>false</ScaleCrop>
  <LinksUpToDate>false</LinksUpToDate>
  <CharactersWithSpaces>26808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2022-03-01T16:23:24Z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634387878DAF4E0D9F268D1CFDE6693A</vt:lpwstr>
  </property>
</Properties>
</file>