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0181-2021-QEO-2022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安庆市鑫华腈工贸有限责任公司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安庆市鑫华腈工贸有限责任公司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安徽省安庆市花亭路11号</w:t>
            </w:r>
            <w:bookmarkEnd w:id="6"/>
          </w:p>
        </w:tc>
        <w:tc>
          <w:tcPr>
            <w:tcW w:w="1242" w:type="dxa"/>
            <w:vMerge w:val="restart"/>
            <w:vAlign w:val="center"/>
          </w:tcPr>
          <w:p>
            <w:r>
              <w:rPr>
                <w:rFonts w:hint="eastAsia"/>
              </w:rPr>
              <w:t>邮编</w:t>
            </w:r>
          </w:p>
        </w:tc>
        <w:tc>
          <w:tcPr>
            <w:tcW w:w="1771" w:type="dxa"/>
          </w:tcPr>
          <w:p>
            <w:bookmarkStart w:id="7" w:name="注册邮编"/>
            <w:r>
              <w:t>246001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安徽省安庆市大观区黄土坑西路116号</w:t>
            </w:r>
            <w:bookmarkEnd w:id="8"/>
          </w:p>
        </w:tc>
        <w:tc>
          <w:tcPr>
            <w:tcW w:w="1242" w:type="dxa"/>
            <w:vMerge w:val="continue"/>
            <w:vAlign w:val="center"/>
          </w:tcPr>
          <w:p/>
        </w:tc>
        <w:tc>
          <w:tcPr>
            <w:tcW w:w="1771" w:type="dxa"/>
          </w:tcPr>
          <w:p>
            <w:bookmarkStart w:id="9" w:name="办公邮编"/>
            <w:r>
              <w:t>246001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r>
              <w:rPr>
                <w:rFonts w:hint="eastAsia"/>
                <w:sz w:val="21"/>
                <w:szCs w:val="21"/>
              </w:rPr>
              <w:t>丁婷</w:t>
            </w:r>
          </w:p>
        </w:tc>
        <w:tc>
          <w:tcPr>
            <w:tcW w:w="1313" w:type="dxa"/>
            <w:vAlign w:val="center"/>
          </w:tcPr>
          <w:p>
            <w:r>
              <w:rPr>
                <w:rFonts w:hint="eastAsia"/>
              </w:rPr>
              <w:t>电话.</w:t>
            </w:r>
          </w:p>
        </w:tc>
        <w:tc>
          <w:tcPr>
            <w:tcW w:w="2180" w:type="dxa"/>
            <w:vAlign w:val="center"/>
          </w:tcPr>
          <w:p>
            <w:bookmarkStart w:id="10" w:name="联系人电话"/>
            <w:r>
              <w:t>13805563189</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吴军</w:t>
            </w:r>
            <w:bookmarkEnd w:id="12"/>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eastAsia="zh-CN"/>
              </w:rPr>
              <w:t>徐晶晶</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anchor distT="0" distB="0" distL="114300" distR="114300" simplePos="0" relativeHeight="251662336" behindDoc="0" locked="0" layoutInCell="1" allowOverlap="1">
                  <wp:simplePos x="0" y="0"/>
                  <wp:positionH relativeFrom="column">
                    <wp:posOffset>177800</wp:posOffset>
                  </wp:positionH>
                  <wp:positionV relativeFrom="paragraph">
                    <wp:posOffset>108585</wp:posOffset>
                  </wp:positionV>
                  <wp:extent cx="3841750" cy="2292350"/>
                  <wp:effectExtent l="0" t="0" r="6350" b="635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3841750" cy="2292350"/>
                          </a:xfrm>
                          <a:prstGeom prst="rect">
                            <a:avLst/>
                          </a:prstGeom>
                          <a:noFill/>
                          <a:ln>
                            <a:noFill/>
                          </a:ln>
                        </pic:spPr>
                      </pic:pic>
                    </a:graphicData>
                  </a:graphic>
                </wp:anchor>
              </w:drawing>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2022年04月2</w:t>
            </w:r>
            <w:r>
              <w:rPr>
                <w:rFonts w:hint="eastAsia"/>
                <w:lang w:val="en-US" w:eastAsia="zh-CN"/>
              </w:rPr>
              <w:t>9</w:t>
            </w:r>
            <w:r>
              <w:rPr>
                <w:rFonts w:hint="eastAsia"/>
              </w:rPr>
              <w:t>日 上午至2022年04月</w:t>
            </w:r>
            <w:r>
              <w:rPr>
                <w:rFonts w:hint="eastAsia"/>
                <w:lang w:val="en-US" w:eastAsia="zh-CN"/>
              </w:rPr>
              <w:t>30</w:t>
            </w:r>
            <w:r>
              <w:rPr>
                <w:rFonts w:hint="eastAsia"/>
              </w:rPr>
              <w:t>日 下午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9" w:name="QJ勾选Add1"/>
            <w:r>
              <w:rPr>
                <w:rFonts w:hint="eastAsia"/>
                <w:lang w:val="de-DE"/>
              </w:rPr>
              <w:t>□</w:t>
            </w:r>
            <w:bookmarkEnd w:id="19"/>
            <w:r>
              <w:rPr>
                <w:rFonts w:hint="eastAsia"/>
                <w:lang w:val="de-DE"/>
              </w:rPr>
              <w:t>GB/T 50430-2017</w:t>
            </w:r>
          </w:p>
          <w:p>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一</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Q：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腈的销售（仅限许可范围内）</w:t>
            </w:r>
          </w:p>
          <w:p>
            <w:r>
              <w:t>E：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腈的销售（仅限许可范围内）所涉及场所的相关环境管理活动</w:t>
            </w:r>
          </w:p>
          <w:p>
            <w:r>
              <w:t>O：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腈的销售（仅限许可范围内）所涉及场所的相关职业健康安全管理活动</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Q：04.02.00;14.02.01;14.02.02;14.02.04;17.12.04;29.11.05;31.04.01</w:t>
            </w:r>
          </w:p>
          <w:p>
            <w:r>
              <w:t>E：04.02.00;14.02.01;14.02.02;14.02.04;17.12.04;29.11.05;31.04.01</w:t>
            </w:r>
          </w:p>
          <w:p>
            <w:r>
              <w:t>O：04.02.00;14.02.01;14.02.02;14.02.04;17.12.04;29.11.05;31.04.01</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sym w:font="Wingdings 2" w:char="0052"/>
            </w:r>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bookmarkStart w:id="29" w:name="体系运行时间"/>
            <w:r>
              <w:t xml:space="preserve">2020-11-06 </w:t>
            </w:r>
            <w:bookmarkEnd w:id="29"/>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b/>
                <w:sz w:val="20"/>
              </w:rPr>
              <w:t xml:space="preserve">2021年03月24日 </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4</w:t>
            </w:r>
            <w:r>
              <w:rPr>
                <w:rFonts w:hint="eastAsia"/>
              </w:rPr>
              <w:t>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037"/>
        <w:gridCol w:w="1478"/>
        <w:gridCol w:w="240"/>
        <w:gridCol w:w="515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037" w:type="dxa"/>
            <w:shd w:val="clear" w:color="auto" w:fill="F3F3F3"/>
            <w:tcMar>
              <w:left w:w="57" w:type="dxa"/>
              <w:right w:w="57" w:type="dxa"/>
            </w:tcMar>
          </w:tcPr>
          <w:p>
            <w:r>
              <w:rPr>
                <w:rFonts w:hint="eastAsia"/>
              </w:rPr>
              <w:t>组织名称及注册场所地址</w:t>
            </w:r>
          </w:p>
        </w:tc>
        <w:tc>
          <w:tcPr>
            <w:tcW w:w="1478" w:type="dxa"/>
            <w:shd w:val="clear" w:color="auto" w:fill="F3F3F3"/>
            <w:tcMar>
              <w:left w:w="57" w:type="dxa"/>
              <w:right w:w="57" w:type="dxa"/>
            </w:tcMar>
          </w:tcPr>
          <w:p>
            <w:r>
              <w:rPr>
                <w:rFonts w:hint="eastAsia"/>
              </w:rPr>
              <w:t>经营场所的地址</w:t>
            </w:r>
          </w:p>
          <w:p>
            <w:r>
              <w:rPr>
                <w:rFonts w:hint="eastAsia"/>
              </w:rPr>
              <w:t>（多现场和临时现场）</w:t>
            </w:r>
          </w:p>
        </w:tc>
        <w:tc>
          <w:tcPr>
            <w:tcW w:w="240" w:type="dxa"/>
            <w:shd w:val="clear" w:color="auto" w:fill="F3F3F3"/>
            <w:tcMar>
              <w:left w:w="57" w:type="dxa"/>
              <w:right w:w="57" w:type="dxa"/>
            </w:tcMar>
          </w:tcPr>
          <w:p>
            <w:r>
              <w:rPr>
                <w:rFonts w:hint="eastAsia"/>
              </w:rPr>
              <w:t>员工人数</w:t>
            </w:r>
          </w:p>
        </w:tc>
        <w:tc>
          <w:tcPr>
            <w:tcW w:w="515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037" w:type="dxa"/>
          </w:tcPr>
          <w:p>
            <w:r>
              <w:t>安庆市鑫华腈工贸有限责任公司</w:t>
            </w:r>
          </w:p>
          <w:p>
            <w:pPr>
              <w:pStyle w:val="13"/>
              <w:rPr>
                <w:lang w:val="de-DE" w:eastAsia="ja-JP"/>
              </w:rPr>
            </w:pPr>
            <w:r>
              <w:rPr>
                <w:rFonts w:asciiTheme="minorEastAsia" w:hAnsiTheme="minorEastAsia" w:eastAsiaTheme="minorEastAsia"/>
                <w:sz w:val="20"/>
              </w:rPr>
              <w:t>安徽省安庆市花亭路11号</w:t>
            </w:r>
          </w:p>
        </w:tc>
        <w:tc>
          <w:tcPr>
            <w:tcW w:w="1478" w:type="dxa"/>
          </w:tcPr>
          <w:p>
            <w:pPr>
              <w:rPr>
                <w:lang w:val="de-DE" w:eastAsia="ja-JP"/>
              </w:rPr>
            </w:pPr>
            <w:r>
              <w:rPr>
                <w:rFonts w:asciiTheme="minorEastAsia" w:hAnsiTheme="minorEastAsia" w:eastAsiaTheme="minorEastAsia"/>
                <w:sz w:val="20"/>
              </w:rPr>
              <w:t>安徽省安庆市大观区黄土坑西路116号</w:t>
            </w:r>
          </w:p>
        </w:tc>
        <w:tc>
          <w:tcPr>
            <w:tcW w:w="240" w:type="dxa"/>
            <w:vAlign w:val="center"/>
          </w:tcPr>
          <w:p>
            <w:pPr>
              <w:rPr>
                <w:rFonts w:hint="default" w:eastAsia="宋体"/>
                <w:lang w:val="en-US" w:eastAsia="zh-CN"/>
              </w:rPr>
            </w:pPr>
            <w:r>
              <w:rPr>
                <w:rFonts w:hint="eastAsia"/>
                <w:lang w:val="en-US" w:eastAsia="zh-CN"/>
              </w:rPr>
              <w:t>36</w:t>
            </w:r>
          </w:p>
        </w:tc>
        <w:tc>
          <w:tcPr>
            <w:tcW w:w="5153" w:type="dxa"/>
            <w:vAlign w:val="center"/>
          </w:tcPr>
          <w:p>
            <w:pPr>
              <w:rPr>
                <w:sz w:val="20"/>
              </w:rPr>
            </w:pPr>
            <w:r>
              <w:rPr>
                <w:sz w:val="20"/>
              </w:rPr>
              <w:t>Q：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腈的销售（仅限许可范围内）</w:t>
            </w:r>
          </w:p>
          <w:p>
            <w:pPr>
              <w:rPr>
                <w:sz w:val="20"/>
              </w:rPr>
            </w:pPr>
            <w:r>
              <w:rPr>
                <w:sz w:val="20"/>
              </w:rPr>
              <w:t>E：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腈的销售（仅限许可范围内）所涉及场所的相关环境管理活动</w:t>
            </w:r>
          </w:p>
          <w:p>
            <w:pPr>
              <w:rPr>
                <w:lang w:eastAsia="ja-JP"/>
              </w:rPr>
            </w:pPr>
            <w:r>
              <w:rPr>
                <w:sz w:val="20"/>
              </w:rPr>
              <w:t>O：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腈的销售（仅限许可范围内）所涉及场所的相关职业健康安全管理活动</w:t>
            </w:r>
          </w:p>
        </w:tc>
        <w:tc>
          <w:tcPr>
            <w:tcW w:w="669" w:type="dxa"/>
            <w:vAlign w:val="center"/>
          </w:tcPr>
          <w:p>
            <w:pPr>
              <w:rPr>
                <w:rFonts w:hint="eastAsia"/>
                <w:lang w:val="en-US" w:eastAsia="ja-JP"/>
              </w:rPr>
            </w:pPr>
            <w:r>
              <w:rPr>
                <w:rFonts w:hint="eastAsia"/>
                <w:lang w:val="de-DE" w:eastAsia="ja-JP"/>
              </w:rPr>
              <w:t>GB/T19001-2016、GB/T24001-2016、GB/T</w:t>
            </w:r>
            <w:r>
              <w:rPr>
                <w:rFonts w:hint="eastAsia"/>
                <w:lang w:val="en-US" w:eastAsia="ja-JP"/>
              </w:rPr>
              <w:t>45</w:t>
            </w:r>
            <w:r>
              <w:rPr>
                <w:rFonts w:hint="eastAsia"/>
                <w:lang w:val="de-DE" w:eastAsia="ja-JP"/>
              </w:rPr>
              <w:t>001-20</w:t>
            </w:r>
            <w:r>
              <w:rPr>
                <w:rFonts w:hint="eastAsia"/>
                <w:lang w:val="en-US" w:eastAsia="ja-JP"/>
              </w:rPr>
              <w:t>20</w:t>
            </w:r>
          </w:p>
          <w:p>
            <w:pPr>
              <w:rPr>
                <w:lang w:eastAsia="ja-JP"/>
              </w:rPr>
            </w:pPr>
          </w:p>
        </w:tc>
        <w:tc>
          <w:tcPr>
            <w:tcW w:w="668" w:type="dxa"/>
            <w:shd w:val="clear" w:color="auto" w:fill="FFFFFF"/>
            <w:vAlign w:val="top"/>
          </w:tcPr>
          <w:p>
            <w:pPr>
              <w:rPr>
                <w:rFonts w:hint="eastAsia" w:ascii="宋体" w:hAnsi="宋体"/>
                <w:b/>
                <w:color w:val="000000"/>
                <w:szCs w:val="21"/>
                <w:lang w:val="en-US" w:eastAsia="zh-CN"/>
              </w:rPr>
            </w:pPr>
            <w:r>
              <w:rPr>
                <w:rFonts w:eastAsia="黑体"/>
                <w:szCs w:val="21"/>
              </w:rPr>
              <w:sym w:font="Wingdings 2" w:char="0052"/>
            </w:r>
          </w:p>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p>
            <w:r>
              <w:t>2020-N1EMS-1258213</w:t>
            </w:r>
          </w:p>
          <w:p>
            <w:r>
              <w:t>2020-N1OHSMS-1258213</w:t>
            </w:r>
          </w:p>
        </w:tc>
        <w:tc>
          <w:tcPr>
            <w:tcW w:w="2179" w:type="dxa"/>
            <w:vAlign w:val="center"/>
          </w:tcPr>
          <w:p>
            <w:r>
              <w:t>Q:14.02.01,14.02.02,14.02.04,17.12.04,29.11.05</w:t>
            </w:r>
          </w:p>
          <w:p>
            <w:r>
              <w:t>E:14.02.01,14.02.02,14.02.04,17.12.04,29.11.05</w:t>
            </w:r>
          </w:p>
          <w:p>
            <w:r>
              <w:t>O:14.02.01,14.02.02,14.02.04,17.12.04,29.11.05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马佳</w:t>
            </w:r>
          </w:p>
        </w:tc>
        <w:tc>
          <w:tcPr>
            <w:tcW w:w="1089" w:type="dxa"/>
            <w:vAlign w:val="center"/>
          </w:tcPr>
          <w:p>
            <w:r>
              <w:t>组员</w:t>
            </w:r>
          </w:p>
        </w:tc>
        <w:tc>
          <w:tcPr>
            <w:tcW w:w="711" w:type="dxa"/>
            <w:vAlign w:val="center"/>
          </w:tcPr>
          <w:p>
            <w:r>
              <w:t>女</w:t>
            </w:r>
          </w:p>
        </w:tc>
        <w:tc>
          <w:tcPr>
            <w:tcW w:w="3870" w:type="dxa"/>
            <w:vAlign w:val="center"/>
          </w:tcPr>
          <w:p>
            <w:r>
              <w:t>2022-N1QMS-3061499</w:t>
            </w:r>
          </w:p>
          <w:p>
            <w:r>
              <w:t>2021-N1EMS-4061499</w:t>
            </w:r>
          </w:p>
          <w:p>
            <w:r>
              <w:t>2021-N1OHSMS-4061499</w:t>
            </w:r>
          </w:p>
        </w:tc>
        <w:tc>
          <w:tcPr>
            <w:tcW w:w="2179" w:type="dxa"/>
            <w:vAlign w:val="center"/>
          </w:tcPr>
          <w:p>
            <w:r>
              <w:t>Q:04.02.00,31.04.01</w:t>
            </w:r>
          </w:p>
          <w:p>
            <w:r>
              <w:t>E:04.02.00,31.04.01</w:t>
            </w:r>
          </w:p>
          <w:p>
            <w:r>
              <w:t>O:04.02.00,31.04.01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初审不符合现场查看已整改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vMerge w:val="restart"/>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vMerge w:val="continue"/>
            <w:tcBorders/>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Borders/>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Borders/>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Theme="minorEastAsia"/>
                <w:lang w:eastAsia="zh-CN"/>
              </w:rPr>
              <w:drawing>
                <wp:anchor distT="0" distB="0" distL="114300" distR="114300" simplePos="0" relativeHeight="251663360" behindDoc="0" locked="0" layoutInCell="1" allowOverlap="1">
                  <wp:simplePos x="0" y="0"/>
                  <wp:positionH relativeFrom="column">
                    <wp:posOffset>314960</wp:posOffset>
                  </wp:positionH>
                  <wp:positionV relativeFrom="paragraph">
                    <wp:posOffset>15875</wp:posOffset>
                  </wp:positionV>
                  <wp:extent cx="699135" cy="314325"/>
                  <wp:effectExtent l="0" t="0" r="12065" b="3175"/>
                  <wp:wrapNone/>
                  <wp:docPr id="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 descr="35b3aafdf404ed4d0ef2157cff4e447"/>
                          <pic:cNvPicPr>
                            <a:picLocks noChangeAspect="1"/>
                          </pic:cNvPicPr>
                        </pic:nvPicPr>
                        <pic:blipFill>
                          <a:blip r:embed="rId7"/>
                          <a:stretch>
                            <a:fillRect/>
                          </a:stretch>
                        </pic:blipFill>
                        <pic:spPr>
                          <a:xfrm>
                            <a:off x="0" y="0"/>
                            <a:ext cx="699135" cy="31432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2022.4.30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lang w:eastAsia="zh-CN"/>
              </w:rPr>
            </w:pPr>
            <w:r>
              <w:rPr>
                <w:rFonts w:hint="eastAsia"/>
              </w:rPr>
              <w:t>最高管理者制定了文件化的</w:t>
            </w:r>
            <w:r>
              <w:rPr>
                <w:rFonts w:hint="eastAsia"/>
                <w:lang w:eastAsia="zh-CN"/>
              </w:rPr>
              <w:t>管理体系方针：以人为本  守法经营  和谐发展 科学管理  求实创新  创建一流</w:t>
            </w:r>
          </w:p>
          <w:p>
            <w:pPr>
              <w:pStyle w:val="13"/>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4"/>
              <w:gridCol w:w="2963"/>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4" w:type="dxa"/>
                </w:tcPr>
                <w:p>
                  <w:pPr>
                    <w:shd w:val="clear" w:color="auto" w:fill="C7DAF1" w:themeFill="text2" w:themeFillTint="32"/>
                  </w:pPr>
                  <w:r>
                    <w:rPr>
                      <w:rFonts w:hint="eastAsia"/>
                    </w:rPr>
                    <w:t>主要的风险或机遇描述</w:t>
                  </w:r>
                </w:p>
              </w:tc>
              <w:tc>
                <w:tcPr>
                  <w:tcW w:w="2963" w:type="dxa"/>
                </w:tcPr>
                <w:p>
                  <w:pPr>
                    <w:shd w:val="clear" w:color="auto" w:fill="C7DAF1" w:themeFill="text2" w:themeFillTint="32"/>
                  </w:pPr>
                  <w:r>
                    <w:rPr>
                      <w:rFonts w:hint="eastAsia"/>
                    </w:rPr>
                    <w:t>应对措施</w:t>
                  </w:r>
                </w:p>
              </w:tc>
              <w:tc>
                <w:tcPr>
                  <w:tcW w:w="1005"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4" w:type="dxa"/>
                </w:tcPr>
                <w:p>
                  <w:pPr>
                    <w:shd w:val="clear" w:color="auto" w:fill="C7DAF1" w:themeFill="text2" w:themeFillTint="32"/>
                  </w:pPr>
                  <w:r>
                    <w:rPr>
                      <w:rFonts w:hint="eastAsia"/>
                    </w:rPr>
                    <w:t>产品质量风险是指在生产经营活动中，因质量管理体系不健全、执行和监督不到位，导致采购的产品质量不合格或存在质量问题，不能满足公司生产经营需要，影响公司生产经营正常运行的风险</w:t>
                  </w:r>
                </w:p>
              </w:tc>
              <w:tc>
                <w:tcPr>
                  <w:tcW w:w="2963" w:type="dxa"/>
                </w:tcPr>
                <w:p>
                  <w:pPr>
                    <w:shd w:val="clear" w:color="auto" w:fill="C7DAF1" w:themeFill="text2" w:themeFillTint="32"/>
                  </w:pPr>
                  <w:r>
                    <w:rPr>
                      <w:rFonts w:hint="eastAsia"/>
                    </w:rPr>
                    <w:t>建立和运行（基础设施管理程序）、（监视和测量资源管理程序）（不合格输出控制程序）</w:t>
                  </w:r>
                </w:p>
              </w:tc>
              <w:tc>
                <w:tcPr>
                  <w:tcW w:w="1005"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4" w:type="dxa"/>
                </w:tcPr>
                <w:p>
                  <w:pPr>
                    <w:shd w:val="clear" w:color="auto" w:fill="C7DAF1" w:themeFill="text2" w:themeFillTint="32"/>
                  </w:pPr>
                  <w:r>
                    <w:rPr>
                      <w:rFonts w:hint="eastAsia"/>
                    </w:rPr>
                    <w:t>信息管理风险是指未能及时准确获取公司内、外部与经营有关的信息或由于信息管理及保密措施不当给公司造成各方面损失的风险。</w:t>
                  </w:r>
                </w:p>
              </w:tc>
              <w:tc>
                <w:tcPr>
                  <w:tcW w:w="2963" w:type="dxa"/>
                </w:tcPr>
                <w:p>
                  <w:pPr>
                    <w:shd w:val="clear" w:color="auto" w:fill="C7DAF1" w:themeFill="text2" w:themeFillTint="32"/>
                    <w:rPr>
                      <w:rFonts w:hint="default" w:eastAsia="宋体"/>
                      <w:lang w:val="en-US" w:eastAsia="zh-CN"/>
                    </w:rPr>
                  </w:pPr>
                  <w:r>
                    <w:rPr>
                      <w:rFonts w:hint="eastAsia"/>
                      <w:lang w:val="en-US" w:eastAsia="zh-CN"/>
                    </w:rPr>
                    <w:t>对相关信息进行搜集更新，定期进行评价</w:t>
                  </w:r>
                </w:p>
              </w:tc>
              <w:tc>
                <w:tcPr>
                  <w:tcW w:w="1005"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4" w:type="dxa"/>
                </w:tcPr>
                <w:p>
                  <w:pPr>
                    <w:shd w:val="clear" w:color="auto" w:fill="C7DAF1" w:themeFill="text2" w:themeFillTint="32"/>
                  </w:pPr>
                </w:p>
              </w:tc>
              <w:tc>
                <w:tcPr>
                  <w:tcW w:w="2963" w:type="dxa"/>
                </w:tcPr>
                <w:p>
                  <w:pPr>
                    <w:shd w:val="clear" w:color="auto" w:fill="C7DAF1" w:themeFill="text2" w:themeFillTint="32"/>
                  </w:pPr>
                </w:p>
              </w:tc>
              <w:tc>
                <w:tcPr>
                  <w:tcW w:w="1005"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4" w:type="dxa"/>
                </w:tcPr>
                <w:p>
                  <w:pPr>
                    <w:shd w:val="clear" w:color="auto" w:fill="C7DAF1" w:themeFill="text2" w:themeFillTint="32"/>
                  </w:pPr>
                </w:p>
              </w:tc>
              <w:tc>
                <w:tcPr>
                  <w:tcW w:w="2963" w:type="dxa"/>
                </w:tcPr>
                <w:p>
                  <w:pPr>
                    <w:shd w:val="clear" w:color="auto" w:fill="C7DAF1" w:themeFill="text2" w:themeFillTint="32"/>
                  </w:pPr>
                </w:p>
              </w:tc>
              <w:tc>
                <w:tcPr>
                  <w:tcW w:w="1005"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220"/>
              <w:gridCol w:w="305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rPr>
                  </w:pPr>
                  <w:r>
                    <w:rPr>
                      <w:rFonts w:hint="eastAsia"/>
                      <w:color w:val="000000"/>
                      <w:szCs w:val="18"/>
                    </w:rPr>
                    <w:t>目标</w:t>
                  </w:r>
                </w:p>
              </w:tc>
              <w:tc>
                <w:tcPr>
                  <w:tcW w:w="1387" w:type="dxa"/>
                </w:tcPr>
                <w:p>
                  <w:pPr>
                    <w:widowControl/>
                    <w:spacing w:before="40"/>
                    <w:jc w:val="left"/>
                    <w:rPr>
                      <w:color w:val="000000"/>
                      <w:szCs w:val="18"/>
                    </w:rPr>
                  </w:pPr>
                  <w:r>
                    <w:rPr>
                      <w:rFonts w:hint="eastAsia"/>
                      <w:color w:val="000000"/>
                      <w:szCs w:val="18"/>
                    </w:rPr>
                    <w:t>考核频次</w:t>
                  </w:r>
                </w:p>
              </w:tc>
              <w:tc>
                <w:tcPr>
                  <w:tcW w:w="3499" w:type="dxa"/>
                </w:tcPr>
                <w:p>
                  <w:pPr>
                    <w:widowControl/>
                    <w:spacing w:before="40"/>
                    <w:jc w:val="left"/>
                    <w:rPr>
                      <w:color w:val="000000"/>
                      <w:szCs w:val="18"/>
                    </w:rPr>
                  </w:pPr>
                  <w:r>
                    <w:rPr>
                      <w:rFonts w:hint="eastAsia"/>
                      <w:color w:val="000000"/>
                      <w:szCs w:val="18"/>
                    </w:rPr>
                    <w:t>计算方法</w:t>
                  </w:r>
                </w:p>
              </w:tc>
              <w:tc>
                <w:tcPr>
                  <w:tcW w:w="2444"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rFonts w:hint="eastAsia"/>
                      <w:color w:val="000000"/>
                      <w:szCs w:val="18"/>
                    </w:rPr>
                  </w:pPr>
                  <w:r>
                    <w:rPr>
                      <w:rFonts w:hint="eastAsia"/>
                      <w:color w:val="000000"/>
                      <w:szCs w:val="18"/>
                    </w:rPr>
                    <w:t>成品一次性交验合格率≥9</w:t>
                  </w:r>
                  <w:r>
                    <w:rPr>
                      <w:rFonts w:hint="eastAsia"/>
                      <w:color w:val="000000"/>
                      <w:szCs w:val="18"/>
                      <w:lang w:val="en-US" w:eastAsia="zh-CN"/>
                    </w:rPr>
                    <w:t>6</w:t>
                  </w:r>
                  <w:r>
                    <w:rPr>
                      <w:rFonts w:hint="eastAsia"/>
                      <w:color w:val="000000"/>
                      <w:szCs w:val="18"/>
                    </w:rPr>
                    <w:t>%</w:t>
                  </w:r>
                </w:p>
              </w:tc>
              <w:tc>
                <w:tcPr>
                  <w:tcW w:w="1387" w:type="dxa"/>
                </w:tcPr>
                <w:p>
                  <w:pPr>
                    <w:widowControl/>
                    <w:spacing w:before="40"/>
                    <w:jc w:val="left"/>
                    <w:rPr>
                      <w:rFonts w:hint="default"/>
                      <w:color w:val="000000"/>
                      <w:szCs w:val="18"/>
                      <w:lang w:val="en-US" w:eastAsia="zh-CN"/>
                    </w:rPr>
                  </w:pPr>
                  <w:r>
                    <w:rPr>
                      <w:rFonts w:hint="eastAsia"/>
                      <w:color w:val="000000"/>
                      <w:szCs w:val="18"/>
                      <w:lang w:val="en-US" w:eastAsia="zh-CN"/>
                    </w:rPr>
                    <w:t>全年保持</w:t>
                  </w:r>
                </w:p>
              </w:tc>
              <w:tc>
                <w:tcPr>
                  <w:tcW w:w="3499" w:type="dxa"/>
                </w:tcPr>
                <w:p>
                  <w:pPr>
                    <w:widowControl/>
                    <w:spacing w:before="40"/>
                    <w:jc w:val="left"/>
                    <w:rPr>
                      <w:rFonts w:hint="eastAsia"/>
                      <w:color w:val="000000"/>
                      <w:szCs w:val="18"/>
                    </w:rPr>
                  </w:pPr>
                  <w:r>
                    <w:rPr>
                      <w:rFonts w:hint="eastAsia"/>
                      <w:color w:val="000000"/>
                      <w:szCs w:val="18"/>
                    </w:rPr>
                    <w:t>合格率＝交验合格数÷交验总数×100%</w:t>
                  </w:r>
                </w:p>
              </w:tc>
              <w:tc>
                <w:tcPr>
                  <w:tcW w:w="2444" w:type="dxa"/>
                </w:tcPr>
                <w:p>
                  <w:pPr>
                    <w:widowControl/>
                    <w:spacing w:before="40"/>
                    <w:jc w:val="left"/>
                    <w:rPr>
                      <w:rFonts w:hint="default"/>
                      <w:color w:val="000000"/>
                      <w:szCs w:val="18"/>
                      <w:lang w:val="en-US" w:eastAsia="zh-CN"/>
                    </w:rPr>
                  </w:pPr>
                  <w:r>
                    <w:rPr>
                      <w:rFonts w:hint="eastAsia"/>
                      <w:color w:val="000000"/>
                      <w:szCs w:val="18"/>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rFonts w:hint="eastAsia"/>
                      <w:color w:val="000000"/>
                      <w:szCs w:val="18"/>
                    </w:rPr>
                  </w:pPr>
                  <w:r>
                    <w:rPr>
                      <w:rFonts w:hint="eastAsia"/>
                      <w:color w:val="000000"/>
                      <w:szCs w:val="18"/>
                    </w:rPr>
                    <w:t>顾客满意率≥9</w:t>
                  </w:r>
                  <w:r>
                    <w:rPr>
                      <w:rFonts w:hint="eastAsia"/>
                      <w:color w:val="000000"/>
                      <w:szCs w:val="18"/>
                      <w:lang w:val="en-US" w:eastAsia="zh-CN"/>
                    </w:rPr>
                    <w:t>0</w:t>
                  </w:r>
                  <w:r>
                    <w:rPr>
                      <w:rFonts w:hint="eastAsia"/>
                      <w:color w:val="000000"/>
                      <w:szCs w:val="18"/>
                    </w:rPr>
                    <w:t>%</w:t>
                  </w:r>
                </w:p>
              </w:tc>
              <w:tc>
                <w:tcPr>
                  <w:tcW w:w="1387" w:type="dxa"/>
                </w:tcPr>
                <w:p>
                  <w:pPr>
                    <w:widowControl/>
                    <w:spacing w:before="40"/>
                    <w:jc w:val="left"/>
                    <w:rPr>
                      <w:rFonts w:hint="eastAsia"/>
                      <w:color w:val="000000"/>
                      <w:szCs w:val="18"/>
                      <w:lang w:val="en-US" w:eastAsia="zh-CN"/>
                    </w:rPr>
                  </w:pPr>
                  <w:r>
                    <w:rPr>
                      <w:rFonts w:hint="eastAsia"/>
                      <w:color w:val="000000"/>
                      <w:szCs w:val="18"/>
                      <w:lang w:val="en-US" w:eastAsia="zh-CN"/>
                    </w:rPr>
                    <w:t>每年</w:t>
                  </w:r>
                </w:p>
              </w:tc>
              <w:tc>
                <w:tcPr>
                  <w:tcW w:w="3499" w:type="dxa"/>
                </w:tcPr>
                <w:p>
                  <w:pPr>
                    <w:widowControl/>
                    <w:spacing w:before="40"/>
                    <w:jc w:val="left"/>
                    <w:rPr>
                      <w:rFonts w:hint="eastAsia"/>
                      <w:color w:val="000000"/>
                      <w:szCs w:val="18"/>
                    </w:rPr>
                  </w:pPr>
                  <w:r>
                    <w:rPr>
                      <w:rFonts w:hint="eastAsia"/>
                      <w:color w:val="000000"/>
                      <w:szCs w:val="18"/>
                    </w:rPr>
                    <w:t>满意率＝顾客满意分数总数÷总分数×100%</w:t>
                  </w:r>
                </w:p>
              </w:tc>
              <w:tc>
                <w:tcPr>
                  <w:tcW w:w="2444" w:type="dxa"/>
                </w:tcPr>
                <w:p>
                  <w:pPr>
                    <w:widowControl/>
                    <w:spacing w:before="40"/>
                    <w:jc w:val="left"/>
                    <w:rPr>
                      <w:rFonts w:hint="eastAsia"/>
                      <w:color w:val="000000"/>
                      <w:szCs w:val="18"/>
                    </w:rPr>
                  </w:pPr>
                  <w:r>
                    <w:rPr>
                      <w:rFonts w:hint="eastAsia"/>
                      <w:color w:val="000000"/>
                      <w:szCs w:val="18"/>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rFonts w:hint="eastAsia"/>
                      <w:color w:val="000000"/>
                      <w:szCs w:val="18"/>
                    </w:rPr>
                  </w:pPr>
                  <w:r>
                    <w:rPr>
                      <w:rFonts w:hint="eastAsia" w:ascii="宋体" w:hAnsi="宋体" w:eastAsia="宋体" w:cs="宋体"/>
                      <w:bCs/>
                      <w:color w:val="auto"/>
                      <w:sz w:val="21"/>
                      <w:szCs w:val="21"/>
                    </w:rPr>
                    <w:t>出厂产品合格率100％</w:t>
                  </w:r>
                </w:p>
              </w:tc>
              <w:tc>
                <w:tcPr>
                  <w:tcW w:w="1387" w:type="dxa"/>
                </w:tcPr>
                <w:p>
                  <w:pPr>
                    <w:widowControl/>
                    <w:spacing w:before="40"/>
                    <w:jc w:val="left"/>
                    <w:rPr>
                      <w:rFonts w:hint="default"/>
                      <w:color w:val="000000"/>
                      <w:szCs w:val="18"/>
                      <w:lang w:val="en-US" w:eastAsia="zh-CN"/>
                    </w:rPr>
                  </w:pPr>
                  <w:r>
                    <w:rPr>
                      <w:rFonts w:hint="eastAsia"/>
                      <w:color w:val="000000"/>
                      <w:szCs w:val="18"/>
                      <w:lang w:val="en-US" w:eastAsia="zh-CN"/>
                    </w:rPr>
                    <w:t>全年保持</w:t>
                  </w:r>
                </w:p>
              </w:tc>
              <w:tc>
                <w:tcPr>
                  <w:tcW w:w="3499" w:type="dxa"/>
                </w:tcPr>
                <w:p>
                  <w:pPr>
                    <w:widowControl/>
                    <w:spacing w:before="40"/>
                    <w:jc w:val="left"/>
                    <w:rPr>
                      <w:rFonts w:hint="eastAsia"/>
                      <w:color w:val="000000"/>
                      <w:szCs w:val="18"/>
                    </w:rPr>
                  </w:pPr>
                  <w:r>
                    <w:rPr>
                      <w:rFonts w:hint="eastAsia"/>
                      <w:color w:val="000000"/>
                      <w:szCs w:val="18"/>
                      <w:lang w:val="en-US" w:eastAsia="zh-CN"/>
                    </w:rPr>
                    <w:t>合格率</w:t>
                  </w:r>
                  <w:r>
                    <w:rPr>
                      <w:rFonts w:hint="eastAsia"/>
                      <w:color w:val="000000"/>
                      <w:szCs w:val="18"/>
                    </w:rPr>
                    <w:t>＝</w:t>
                  </w:r>
                  <w:r>
                    <w:rPr>
                      <w:rFonts w:hint="eastAsia"/>
                      <w:color w:val="000000"/>
                      <w:szCs w:val="18"/>
                      <w:lang w:val="en-US" w:eastAsia="zh-CN"/>
                    </w:rPr>
                    <w:t>产品合格出场</w:t>
                  </w:r>
                  <w:r>
                    <w:rPr>
                      <w:rFonts w:hint="eastAsia"/>
                      <w:color w:val="000000"/>
                      <w:szCs w:val="18"/>
                    </w:rPr>
                    <w:t>总数÷</w:t>
                  </w:r>
                  <w:r>
                    <w:rPr>
                      <w:rFonts w:hint="eastAsia"/>
                      <w:color w:val="000000"/>
                      <w:szCs w:val="18"/>
                      <w:lang w:val="en-US" w:eastAsia="zh-CN"/>
                    </w:rPr>
                    <w:t>生产产品</w:t>
                  </w:r>
                  <w:r>
                    <w:rPr>
                      <w:rFonts w:hint="eastAsia"/>
                      <w:color w:val="000000"/>
                      <w:szCs w:val="18"/>
                    </w:rPr>
                    <w:t>总数×100%</w:t>
                  </w:r>
                </w:p>
              </w:tc>
              <w:tc>
                <w:tcPr>
                  <w:tcW w:w="2444" w:type="dxa"/>
                </w:tcPr>
                <w:p>
                  <w:pPr>
                    <w:widowControl/>
                    <w:spacing w:before="40"/>
                    <w:jc w:val="left"/>
                    <w:rPr>
                      <w:rFonts w:hint="default"/>
                      <w:color w:val="000000"/>
                      <w:szCs w:val="18"/>
                      <w:lang w:val="en-US" w:eastAsia="zh-CN"/>
                    </w:rPr>
                  </w:pPr>
                  <w:r>
                    <w:rPr>
                      <w:rFonts w:hint="eastAsia"/>
                      <w:color w:val="000000"/>
                      <w:szCs w:val="18"/>
                      <w:lang w:val="en-US" w:eastAsia="zh-CN"/>
                    </w:rPr>
                    <w:t>完成</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建筑面积1.8万平方米；生产车间</w:t>
            </w:r>
            <w:r>
              <w:rPr>
                <w:rFonts w:hint="eastAsia"/>
                <w:lang w:val="en-US" w:eastAsia="zh-CN"/>
              </w:rPr>
              <w:t>2</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 xml:space="preserve">  切割机床、液晶投影机、剪刀机、立式钻床、缝包机、工业缝纫机</w:t>
            </w:r>
            <w:r>
              <w:rPr>
                <w:rFonts w:hint="eastAsia"/>
                <w:u w:val="single"/>
              </w:rPr>
              <w:t>（</w:t>
            </w:r>
            <w:r>
              <w:rPr>
                <w:rFonts w:hint="eastAsia"/>
                <w:u w:val="single"/>
                <w:lang w:val="en-US" w:eastAsia="zh-CN"/>
              </w:rPr>
              <w:t xml:space="preserve"> </w:t>
            </w:r>
            <w:r>
              <w:rPr>
                <w:rFonts w:hint="eastAsia"/>
                <w:u w:val="single"/>
              </w:rPr>
              <w:t>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A3"/>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 xml:space="preserve"> 轮廓仪、平面测量仪、手持XRF分析仪（</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rPr>
              <w:t>□法律法规获取充分，</w:t>
            </w:r>
            <w:r>
              <w:rPr>
                <w:rFonts w:hint="eastAsia"/>
              </w:rPr>
              <w:sym w:font="Wingdings 2" w:char="0052"/>
            </w:r>
            <w:r>
              <w:rPr>
                <w:rFonts w:hint="eastAsia"/>
              </w:rPr>
              <w:t>法律法规获取有遗漏，缺少：</w:t>
            </w:r>
            <w:r>
              <w:rPr>
                <w:rFonts w:hint="eastAsia"/>
                <w:lang w:val="en-US" w:eastAsia="zh-CN"/>
              </w:rPr>
              <w:t>产品执行的相关标准</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sym w:font="Wingdings 2" w:char="0052"/>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w:t>
            </w:r>
            <w:r>
              <w:rPr>
                <w:rFonts w:hint="eastAsia"/>
                <w:lang w:eastAsia="zh-CN"/>
              </w:rPr>
              <w:t>项目名称：昆明兰博面包工坊食品有限公司 招牌鲜奶土司袋（</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271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tcPr>
                <w:p>
                  <w:pPr>
                    <w:shd w:val="clear" w:color="auto" w:fill="C7DAF1" w:themeFill="text2" w:themeFillTint="32"/>
                    <w:jc w:val="left"/>
                  </w:pPr>
                  <w:r>
                    <w:rPr>
                      <w:rFonts w:hint="eastAsia"/>
                    </w:rPr>
                    <w:t>产品/服务名称</w:t>
                  </w:r>
                </w:p>
              </w:tc>
              <w:tc>
                <w:tcPr>
                  <w:tcW w:w="271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tcPr>
                <w:p>
                  <w:pPr>
                    <w:shd w:val="clear" w:color="auto" w:fill="C7DAF1" w:themeFill="text2" w:themeFillTint="32"/>
                    <w:jc w:val="left"/>
                  </w:pPr>
                  <w:r>
                    <w:rPr>
                      <w:sz w:val="20"/>
                    </w:rPr>
                    <w:t>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腈的销售</w:t>
                  </w:r>
                </w:p>
              </w:tc>
              <w:tc>
                <w:tcPr>
                  <w:tcW w:w="2715" w:type="dxa"/>
                </w:tcPr>
                <w:p>
                  <w:pPr>
                    <w:shd w:val="clear" w:color="auto" w:fill="C7DAF1" w:themeFill="text2" w:themeFillTint="32"/>
                    <w:jc w:val="left"/>
                  </w:pPr>
                  <w:r>
                    <w:rPr>
                      <w:rFonts w:hint="eastAsia" w:ascii="宋体" w:hAnsi="宋体"/>
                      <w:color w:val="000000"/>
                      <w:sz w:val="20"/>
                      <w:szCs w:val="20"/>
                      <w:lang w:val="en-US" w:eastAsia="zh-CN"/>
                    </w:rPr>
                    <w:t>金属和非金属垫片的下料过程</w:t>
                  </w:r>
                </w:p>
              </w:tc>
              <w:tc>
                <w:tcPr>
                  <w:tcW w:w="3265" w:type="dxa"/>
                </w:tcPr>
                <w:p>
                  <w:pPr>
                    <w:shd w:val="clear" w:color="auto" w:fill="C7DAF1" w:themeFill="text2" w:themeFillTint="32"/>
                    <w:jc w:val="left"/>
                  </w:pPr>
                  <w:r>
                    <w:rPr>
                      <w:rFonts w:hint="eastAsia" w:ascii="宋体" w:hAnsi="宋体" w:eastAsia="宋体" w:cs="宋体"/>
                      <w:color w:val="000000"/>
                      <w:kern w:val="0"/>
                      <w:sz w:val="19"/>
                      <w:szCs w:val="19"/>
                      <w:lang w:val="en-US" w:eastAsia="zh-CN" w:bidi="ar"/>
                    </w:rPr>
                    <w:t>温度、压力、时间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tcPr>
                <w:p>
                  <w:pPr>
                    <w:shd w:val="clear" w:color="auto" w:fill="C7DAF1" w:themeFill="text2" w:themeFillTint="32"/>
                    <w:jc w:val="left"/>
                  </w:pPr>
                </w:p>
              </w:tc>
              <w:tc>
                <w:tcPr>
                  <w:tcW w:w="271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2" w:type="dxa"/>
                </w:tcPr>
                <w:p>
                  <w:pPr>
                    <w:shd w:val="clear" w:color="auto" w:fill="C7DAF1" w:themeFill="text2" w:themeFillTint="32"/>
                    <w:jc w:val="left"/>
                  </w:pPr>
                </w:p>
              </w:tc>
              <w:tc>
                <w:tcPr>
                  <w:tcW w:w="271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color w:val="FF0000"/>
              </w:rPr>
            </w:pPr>
            <w:r>
              <w:rPr>
                <w:rFonts w:hint="eastAsia"/>
              </w:rPr>
              <w:t>需要确认的过程：</w:t>
            </w:r>
            <w:r>
              <w:rPr>
                <w:rFonts w:hint="eastAsia" w:ascii="宋体" w:hAnsi="宋体"/>
                <w:color w:val="000000"/>
                <w:sz w:val="20"/>
                <w:szCs w:val="20"/>
                <w:lang w:val="en-US" w:eastAsia="zh-CN"/>
              </w:rPr>
              <w:t>缠绕和热处理过程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52"/>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A3"/>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年度策划于2022年1月20日-21日实施了</w:t>
            </w:r>
            <w:r>
              <w:rPr>
                <w:rFonts w:hint="eastAsia"/>
              </w:rPr>
              <w:t>质量管理体系内部审核，对质量管理体系的符合性和有效性进行了审核。</w:t>
            </w:r>
            <w:r>
              <w:rPr>
                <w:rFonts w:hint="eastAsia"/>
                <w:lang w:eastAsia="zh-CN"/>
              </w:rPr>
              <w:t>内审发现的2项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lang w:eastAsia="zh-CN"/>
              </w:rPr>
              <w:t>在2022年2月23日对组织的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FF0000"/>
                <w:lang w:eastAsia="ja-JP"/>
              </w:rPr>
            </w:pPr>
            <w:r>
              <w:rPr>
                <w:rFonts w:hint="eastAsia"/>
                <w:color w:val="FF0000"/>
                <w:lang w:val="en-US" w:eastAsia="zh-CN"/>
              </w:rPr>
              <w:t>1</w:t>
            </w:r>
          </w:p>
        </w:tc>
        <w:tc>
          <w:tcPr>
            <w:tcW w:w="650" w:type="dxa"/>
            <w:vAlign w:val="center"/>
          </w:tcPr>
          <w:p>
            <w:pPr>
              <w:shd w:val="clear" w:color="auto" w:fill="C7DAF1" w:themeFill="text2" w:themeFillTint="32"/>
              <w:rPr>
                <w:color w:val="FF0000"/>
                <w:lang w:eastAsia="ja-JP"/>
              </w:rPr>
            </w:pPr>
            <w:r>
              <w:rPr>
                <w:rFonts w:hint="eastAsia"/>
                <w:color w:val="FF0000"/>
                <w:lang w:val="en-US" w:eastAsia="zh-CN"/>
              </w:rPr>
              <w:t>1</w:t>
            </w:r>
          </w:p>
        </w:tc>
        <w:tc>
          <w:tcPr>
            <w:tcW w:w="649" w:type="dxa"/>
            <w:vAlign w:val="center"/>
          </w:tcPr>
          <w:p>
            <w:pPr>
              <w:shd w:val="clear" w:color="auto" w:fill="C7DAF1" w:themeFill="text2" w:themeFillTint="32"/>
              <w:rPr>
                <w:color w:val="FF0000"/>
                <w:lang w:eastAsia="ja-JP"/>
              </w:rPr>
            </w:pPr>
            <w:r>
              <w:rPr>
                <w:rFonts w:hint="eastAsia"/>
                <w:color w:val="FF0000"/>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7.1</w:t>
            </w:r>
          </w:p>
        </w:tc>
        <w:tc>
          <w:tcPr>
            <w:tcW w:w="650" w:type="dxa"/>
            <w:vAlign w:val="center"/>
          </w:tcPr>
          <w:p>
            <w:pPr>
              <w:shd w:val="clear" w:color="auto" w:fill="C7DAF1" w:themeFill="text2" w:themeFillTint="32"/>
              <w:rPr>
                <w:color w:val="auto"/>
                <w:lang w:eastAsia="ja-JP"/>
              </w:rPr>
            </w:pPr>
            <w:r>
              <w:rPr>
                <w:rFonts w:hint="eastAsia"/>
                <w:color w:val="auto"/>
              </w:rPr>
              <w:t>7.2</w:t>
            </w:r>
          </w:p>
        </w:tc>
        <w:tc>
          <w:tcPr>
            <w:tcW w:w="650" w:type="dxa"/>
            <w:vAlign w:val="center"/>
          </w:tcPr>
          <w:p>
            <w:pPr>
              <w:shd w:val="clear" w:color="auto" w:fill="C7DAF1" w:themeFill="text2" w:themeFillTint="32"/>
              <w:rPr>
                <w:color w:val="auto"/>
                <w:lang w:eastAsia="ja-JP"/>
              </w:rPr>
            </w:pPr>
            <w:r>
              <w:rPr>
                <w:rFonts w:hint="eastAsia"/>
                <w:color w:val="auto"/>
              </w:rPr>
              <w:t>7.3</w:t>
            </w:r>
          </w:p>
        </w:tc>
        <w:tc>
          <w:tcPr>
            <w:tcW w:w="649" w:type="dxa"/>
            <w:vAlign w:val="center"/>
          </w:tcPr>
          <w:p>
            <w:pPr>
              <w:shd w:val="clear" w:color="auto" w:fill="C7DAF1" w:themeFill="text2" w:themeFillTint="32"/>
              <w:rPr>
                <w:color w:val="auto"/>
                <w:lang w:eastAsia="ja-JP"/>
              </w:rPr>
            </w:pPr>
            <w:r>
              <w:rPr>
                <w:rFonts w:hint="eastAsia"/>
                <w:color w:val="auto"/>
              </w:rPr>
              <w:t>7.4</w:t>
            </w:r>
          </w:p>
        </w:tc>
        <w:tc>
          <w:tcPr>
            <w:tcW w:w="650" w:type="dxa"/>
            <w:vAlign w:val="center"/>
          </w:tcPr>
          <w:p>
            <w:pPr>
              <w:shd w:val="clear" w:color="auto" w:fill="C7DAF1" w:themeFill="text2" w:themeFillTint="32"/>
              <w:rPr>
                <w:color w:val="auto"/>
                <w:lang w:eastAsia="ja-JP"/>
              </w:rPr>
            </w:pPr>
            <w:r>
              <w:rPr>
                <w:rFonts w:hint="eastAsia"/>
                <w:color w:val="auto"/>
              </w:rPr>
              <w:t>7.5</w:t>
            </w:r>
          </w:p>
        </w:tc>
        <w:tc>
          <w:tcPr>
            <w:tcW w:w="650" w:type="dxa"/>
            <w:vAlign w:val="center"/>
          </w:tcPr>
          <w:p>
            <w:pPr>
              <w:shd w:val="clear" w:color="auto" w:fill="C7DAF1" w:themeFill="text2" w:themeFillTint="32"/>
              <w:rPr>
                <w:color w:val="auto"/>
                <w:lang w:eastAsia="ja-JP"/>
              </w:rPr>
            </w:pPr>
            <w:r>
              <w:rPr>
                <w:rFonts w:hint="eastAsia"/>
                <w:color w:val="auto"/>
              </w:rPr>
              <w:t>8.1</w:t>
            </w:r>
          </w:p>
        </w:tc>
        <w:tc>
          <w:tcPr>
            <w:tcW w:w="649" w:type="dxa"/>
            <w:vAlign w:val="center"/>
          </w:tcPr>
          <w:p>
            <w:pPr>
              <w:shd w:val="clear" w:color="auto" w:fill="C7DAF1" w:themeFill="text2" w:themeFillTint="32"/>
              <w:rPr>
                <w:color w:val="auto"/>
                <w:lang w:eastAsia="ja-JP"/>
              </w:rPr>
            </w:pPr>
            <w:r>
              <w:rPr>
                <w:rFonts w:hint="eastAsia"/>
                <w:color w:val="auto"/>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3</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FF0000"/>
                <w:lang w:eastAsia="ja-JP"/>
              </w:rPr>
            </w:pPr>
            <w:r>
              <w:rPr>
                <w:rFonts w:hint="eastAsia"/>
                <w:color w:val="FF0000"/>
                <w:lang w:val="en-US" w:eastAsia="zh-CN"/>
              </w:rPr>
              <w:t>1</w:t>
            </w:r>
          </w:p>
        </w:tc>
        <w:tc>
          <w:tcPr>
            <w:tcW w:w="650" w:type="dxa"/>
            <w:vAlign w:val="center"/>
          </w:tcPr>
          <w:p>
            <w:pPr>
              <w:shd w:val="clear" w:color="auto" w:fill="C7DAF1" w:themeFill="text2" w:themeFillTint="32"/>
              <w:rPr>
                <w:color w:val="FF0000"/>
                <w:lang w:eastAsia="ja-JP"/>
              </w:rPr>
            </w:pPr>
            <w:r>
              <w:rPr>
                <w:rFonts w:hint="eastAsia"/>
                <w:color w:val="FF0000"/>
                <w:lang w:val="en-US" w:eastAsia="zh-CN"/>
              </w:rPr>
              <w:t>1</w:t>
            </w:r>
          </w:p>
        </w:tc>
        <w:tc>
          <w:tcPr>
            <w:tcW w:w="649" w:type="dxa"/>
            <w:vAlign w:val="center"/>
          </w:tcPr>
          <w:p>
            <w:pPr>
              <w:shd w:val="clear" w:color="auto" w:fill="C7DAF1" w:themeFill="text2" w:themeFillTint="32"/>
              <w:rPr>
                <w:color w:val="FF0000"/>
                <w:lang w:eastAsia="ja-JP"/>
              </w:rPr>
            </w:pPr>
            <w:r>
              <w:rPr>
                <w:rFonts w:hint="eastAsia"/>
                <w:color w:val="FF0000"/>
                <w:lang w:val="en-US" w:eastAsia="zh-CN"/>
              </w:rPr>
              <w:t>1</w:t>
            </w:r>
          </w:p>
        </w:tc>
        <w:tc>
          <w:tcPr>
            <w:tcW w:w="650" w:type="dxa"/>
            <w:vAlign w:val="center"/>
          </w:tcPr>
          <w:p>
            <w:pPr>
              <w:shd w:val="clear" w:color="auto" w:fill="C7DAF1" w:themeFill="text2" w:themeFillTint="32"/>
              <w:rPr>
                <w:color w:val="FF0000"/>
                <w:lang w:eastAsia="ja-JP"/>
              </w:rPr>
            </w:pPr>
            <w:r>
              <w:rPr>
                <w:rFonts w:hint="eastAsia"/>
                <w:color w:val="FF0000"/>
                <w:lang w:val="en-US" w:eastAsia="zh-CN"/>
              </w:rPr>
              <w:t>1</w:t>
            </w:r>
          </w:p>
        </w:tc>
        <w:tc>
          <w:tcPr>
            <w:tcW w:w="650" w:type="dxa"/>
            <w:vAlign w:val="center"/>
          </w:tcPr>
          <w:p>
            <w:pPr>
              <w:shd w:val="clear" w:color="auto" w:fill="C7DAF1" w:themeFill="text2" w:themeFillTint="32"/>
              <w:rPr>
                <w:color w:val="FF0000"/>
                <w:lang w:eastAsia="ja-JP"/>
              </w:rPr>
            </w:pPr>
            <w:r>
              <w:rPr>
                <w:rFonts w:hint="eastAsia"/>
                <w:color w:val="FF000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2</w:t>
            </w: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9.1</w:t>
            </w:r>
          </w:p>
        </w:tc>
        <w:tc>
          <w:tcPr>
            <w:tcW w:w="650" w:type="dxa"/>
            <w:vAlign w:val="center"/>
          </w:tcPr>
          <w:p>
            <w:pPr>
              <w:shd w:val="clear" w:color="auto" w:fill="C7DAF1" w:themeFill="text2" w:themeFillTint="32"/>
              <w:rPr>
                <w:color w:val="auto"/>
                <w:lang w:eastAsia="ja-JP"/>
              </w:rPr>
            </w:pPr>
            <w:r>
              <w:rPr>
                <w:rFonts w:hint="eastAsia"/>
                <w:color w:val="auto"/>
              </w:rPr>
              <w:t>9.2</w:t>
            </w:r>
          </w:p>
        </w:tc>
        <w:tc>
          <w:tcPr>
            <w:tcW w:w="650" w:type="dxa"/>
            <w:vAlign w:val="center"/>
          </w:tcPr>
          <w:p>
            <w:pPr>
              <w:shd w:val="clear" w:color="auto" w:fill="C7DAF1" w:themeFill="text2" w:themeFillTint="32"/>
              <w:rPr>
                <w:color w:val="auto"/>
                <w:lang w:eastAsia="ja-JP"/>
              </w:rPr>
            </w:pPr>
            <w:r>
              <w:rPr>
                <w:rFonts w:hint="eastAsia"/>
                <w:color w:val="auto"/>
              </w:rPr>
              <w:t>9.3</w:t>
            </w:r>
          </w:p>
        </w:tc>
        <w:tc>
          <w:tcPr>
            <w:tcW w:w="649" w:type="dxa"/>
            <w:vAlign w:val="center"/>
          </w:tcPr>
          <w:p>
            <w:pPr>
              <w:shd w:val="clear" w:color="auto" w:fill="C7DAF1" w:themeFill="text2" w:themeFillTint="32"/>
              <w:rPr>
                <w:color w:val="auto"/>
                <w:lang w:eastAsia="ja-JP"/>
              </w:rPr>
            </w:pPr>
            <w:r>
              <w:rPr>
                <w:rFonts w:hint="eastAsia"/>
                <w:color w:val="auto"/>
              </w:rPr>
              <w:t>10.1</w:t>
            </w:r>
          </w:p>
        </w:tc>
        <w:tc>
          <w:tcPr>
            <w:tcW w:w="650" w:type="dxa"/>
            <w:vAlign w:val="center"/>
          </w:tcPr>
          <w:p>
            <w:pPr>
              <w:shd w:val="clear" w:color="auto" w:fill="C7DAF1" w:themeFill="text2" w:themeFillTint="32"/>
              <w:rPr>
                <w:color w:val="auto"/>
                <w:lang w:eastAsia="ja-JP"/>
              </w:rPr>
            </w:pPr>
            <w:r>
              <w:rPr>
                <w:rFonts w:hint="eastAsia"/>
                <w:color w:val="auto"/>
              </w:rPr>
              <w:t>10.2</w:t>
            </w:r>
          </w:p>
        </w:tc>
        <w:tc>
          <w:tcPr>
            <w:tcW w:w="650" w:type="dxa"/>
            <w:vAlign w:val="center"/>
          </w:tcPr>
          <w:p>
            <w:pPr>
              <w:shd w:val="clear" w:color="auto" w:fill="C7DAF1" w:themeFill="text2" w:themeFillTint="32"/>
              <w:rPr>
                <w:color w:val="auto"/>
                <w:lang w:eastAsia="ja-JP"/>
              </w:rPr>
            </w:pPr>
            <w:r>
              <w:rPr>
                <w:rFonts w:hint="eastAsia"/>
                <w:color w:val="auto"/>
              </w:rPr>
              <w:t>10.3</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A3"/>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52"/>
            </w:r>
            <w:r>
              <w:rPr>
                <w:rFonts w:hint="eastAsia"/>
              </w:rPr>
              <w:t>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最高管理者制定了文件化的</w:t>
            </w:r>
            <w:r>
              <w:rPr>
                <w:rFonts w:hint="eastAsia"/>
                <w:lang w:eastAsia="zh-CN"/>
              </w:rPr>
              <w:t>管理体系方针：以人为本  守法经营  和谐发展 科学管理  求实创新  创建一流</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产品质量风险是指在生产经营活动中，因质量管理体系不健全、执行和监督不到位，导致采购的产品质量不合格或存在质量问题，不能满足公司生产经营需要，影响公司生产经营正常运行的风险</w:t>
                  </w:r>
                </w:p>
              </w:tc>
              <w:tc>
                <w:tcPr>
                  <w:tcW w:w="3965" w:type="dxa"/>
                  <w:vAlign w:val="top"/>
                </w:tcPr>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建立和运行（基础设施管理程序）、（监视和测量资源管理程序）（不合格输出控制程序）</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信息管理风险是指未能及时准确获取公司内、外部与经营有关的信息或由于信息管理及保密措施不当给公司造成各方面损失的风险。</w:t>
                  </w:r>
                </w:p>
              </w:tc>
              <w:tc>
                <w:tcPr>
                  <w:tcW w:w="3965" w:type="dxa"/>
                  <w:vAlign w:val="top"/>
                </w:tcPr>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lang w:val="en-US" w:eastAsia="zh-CN"/>
                    </w:rPr>
                    <w:t>对相关信息进行搜集更新，定期进行评价</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A3"/>
            </w:r>
            <w:r>
              <w:rPr>
                <w:rFonts w:hint="eastAsia"/>
              </w:rPr>
              <w:t>废水排放</w:t>
            </w:r>
            <w:r>
              <w:rPr>
                <w:rFonts w:hint="eastAsia"/>
              </w:rPr>
              <w:sym w:font="Wingdings 2" w:char="0052"/>
            </w:r>
            <w:r>
              <w:rPr>
                <w:rFonts w:hint="eastAsia"/>
              </w:rPr>
              <w:t>废气排放□粉尘排放</w:t>
            </w:r>
            <w:r>
              <w:rPr>
                <w:rFonts w:hint="eastAsia"/>
              </w:rPr>
              <w:sym w:font="Wingdings 2" w:char="0052"/>
            </w:r>
            <w:r>
              <w:rPr>
                <w:rFonts w:hint="eastAsia"/>
              </w:rPr>
              <w:t>危废排放</w:t>
            </w:r>
            <w:r>
              <w:rPr>
                <w:rFonts w:hint="eastAsia"/>
              </w:rPr>
              <w:sym w:font="Wingdings 2" w:char="0052"/>
            </w:r>
            <w:r>
              <w:rPr>
                <w:rFonts w:hint="eastAsia"/>
              </w:rPr>
              <w:t>噪声排放</w:t>
            </w:r>
            <w:r>
              <w:rPr>
                <w:rFonts w:hint="eastAsia"/>
              </w:rPr>
              <w:sym w:font="Wingdings 2" w:char="0052"/>
            </w:r>
            <w:r>
              <w:rPr>
                <w:rFonts w:hint="eastAsia"/>
              </w:rPr>
              <w:t>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r>
              <w:rPr>
                <w:rFonts w:hint="eastAsia"/>
                <w:color w:val="000000"/>
                <w:szCs w:val="18"/>
              </w:rPr>
              <w:t>颁发日期：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sym w:font="Wingdings 2" w:char="0052"/>
            </w:r>
            <w:r>
              <w:rPr>
                <w:rFonts w:hint="eastAsia"/>
              </w:rPr>
              <w:t>其他</w:t>
            </w:r>
            <w:r>
              <w:rPr>
                <w:rFonts w:hint="eastAsia"/>
                <w:lang w:val="en-US" w:eastAsia="zh-CN"/>
              </w:rPr>
              <w:t>-</w:t>
            </w:r>
            <w:r>
              <w:rPr>
                <w:rFonts w:hint="eastAsia"/>
                <w:color w:val="000000"/>
                <w:szCs w:val="18"/>
                <w:lang w:eastAsia="zh-CN"/>
              </w:rPr>
              <w:t>《</w:t>
            </w:r>
            <w:r>
              <w:rPr>
                <w:rFonts w:hint="eastAsia"/>
                <w:color w:val="000000"/>
                <w:szCs w:val="18"/>
                <w:lang w:val="en-US" w:eastAsia="zh-CN"/>
              </w:rPr>
              <w:t>固定污染源排污登记回执</w:t>
            </w:r>
            <w:r>
              <w:rPr>
                <w:rFonts w:hint="eastAsia"/>
                <w:color w:val="000000"/>
                <w:szCs w:val="18"/>
                <w:lang w:eastAsia="zh-CN"/>
              </w:rPr>
              <w:t>》</w:t>
            </w:r>
            <w:r>
              <w:rPr>
                <w:rFonts w:hint="eastAsia"/>
                <w:color w:val="000000"/>
                <w:szCs w:val="18"/>
                <w:lang w:val="en-US" w:eastAsia="zh-CN"/>
              </w:rPr>
              <w:t>：登记证编号：91330109754410364K001Y；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w:t>
            </w:r>
            <w:r>
              <w:rPr>
                <w:rFonts w:hint="eastAsia"/>
              </w:rPr>
              <w:sym w:font="Wingdings 2" w:char="0052"/>
            </w:r>
            <w:r>
              <w:rPr>
                <w:rFonts w:hint="eastAsia"/>
              </w:rPr>
              <w:t>设备降噪</w:t>
            </w:r>
            <w:r>
              <w:rPr>
                <w:rFonts w:hint="eastAsia"/>
              </w:rPr>
              <w:sym w:font="Wingdings 2" w:char="0052"/>
            </w:r>
            <w:r>
              <w:rPr>
                <w:rFonts w:hint="eastAsia"/>
              </w:rPr>
              <w:t>危废合法处置</w:t>
            </w:r>
            <w:r>
              <w:rPr>
                <w:rFonts w:hint="eastAsia"/>
              </w:rPr>
              <w:sym w:font="Wingdings 2" w:char="0052"/>
            </w:r>
            <w:r>
              <w:rPr>
                <w:rFonts w:hint="eastAsia"/>
              </w:rPr>
              <w:t>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pPr w:leftFromText="180" w:rightFromText="180" w:vertAnchor="text" w:horzAnchor="page" w:tblpX="83" w:tblpY="4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3"/>
              <w:gridCol w:w="3101"/>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0" w:type="auto"/>
                  <w:tcBorders>
                    <w:bottom w:val="single" w:color="auto" w:sz="4" w:space="0"/>
                  </w:tcBorders>
                  <w:noWrap w:val="0"/>
                  <w:vAlign w:val="center"/>
                </w:tcPr>
                <w:p>
                  <w:pPr>
                    <w:pStyle w:val="3"/>
                    <w:spacing w:before="80" w:beforeLines="20" w:after="80" w:afterLines="20" w:line="320" w:lineRule="exact"/>
                    <w:ind w:left="0"/>
                    <w:jc w:val="center"/>
                    <w:rPr>
                      <w:rFonts w:hint="eastAsia" w:ascii="楷体" w:hAnsi="楷体" w:eastAsia="楷体" w:cs="宋体"/>
                      <w:color w:val="000000"/>
                      <w:kern w:val="2"/>
                      <w:sz w:val="24"/>
                      <w:szCs w:val="24"/>
                      <w:lang w:val="en-US" w:eastAsia="zh-CN" w:bidi="ar-SA"/>
                    </w:rPr>
                  </w:pPr>
                  <w:bookmarkStart w:id="33" w:name="OLE_LINK1"/>
                  <w:r>
                    <w:rPr>
                      <w:rFonts w:hint="eastAsia" w:ascii="楷体" w:hAnsi="楷体" w:eastAsia="楷体" w:cs="宋体"/>
                      <w:color w:val="000000"/>
                      <w:kern w:val="2"/>
                      <w:sz w:val="24"/>
                      <w:szCs w:val="24"/>
                      <w:lang w:val="en-US" w:eastAsia="zh-CN" w:bidi="ar-SA"/>
                    </w:rPr>
                    <w:t>分目标</w:t>
                  </w:r>
                </w:p>
              </w:tc>
              <w:tc>
                <w:tcPr>
                  <w:tcW w:w="0" w:type="auto"/>
                  <w:tcBorders>
                    <w:bottom w:val="single" w:color="auto" w:sz="4" w:space="0"/>
                  </w:tcBorders>
                  <w:noWrap w:val="0"/>
                  <w:vAlign w:val="center"/>
                </w:tcPr>
                <w:p>
                  <w:pPr>
                    <w:pStyle w:val="3"/>
                    <w:spacing w:before="80" w:beforeLines="20" w:after="80" w:afterLines="20" w:line="320" w:lineRule="exact"/>
                    <w:ind w:left="0"/>
                    <w:jc w:val="center"/>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考核方法</w:t>
                  </w:r>
                </w:p>
              </w:tc>
              <w:tc>
                <w:tcPr>
                  <w:tcW w:w="0" w:type="auto"/>
                  <w:tcBorders>
                    <w:bottom w:val="single" w:color="auto" w:sz="4" w:space="0"/>
                  </w:tcBorders>
                  <w:noWrap w:val="0"/>
                  <w:vAlign w:val="center"/>
                </w:tcPr>
                <w:p>
                  <w:pPr>
                    <w:pStyle w:val="3"/>
                    <w:spacing w:before="80" w:beforeLines="20" w:after="80" w:afterLines="20" w:line="320" w:lineRule="exact"/>
                    <w:ind w:left="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考核结果1-4月</w:t>
                  </w:r>
                </w:p>
              </w:tc>
            </w:tr>
            <w:bookmark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5.各类废弃物按规定分类处置率100%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处置率=检查合格次数/总次数</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6. 废水达标排放</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检测报告</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7．废气达标排放</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检测报告</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8. 噪声达标排放</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检测报告</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9.火灾爆炸事故生率为0；</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考核期内统计</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建筑面积</w:t>
            </w:r>
            <w:r>
              <w:rPr>
                <w:rFonts w:hint="eastAsia"/>
                <w:lang w:val="en-US" w:eastAsia="zh-CN"/>
              </w:rPr>
              <w:t>1.8万</w:t>
            </w:r>
            <w:r>
              <w:rPr>
                <w:rFonts w:hint="eastAsia"/>
              </w:rPr>
              <w:t>平方米；生产车间</w:t>
            </w:r>
            <w:r>
              <w:rPr>
                <w:rFonts w:hint="eastAsia"/>
                <w:lang w:val="en-US" w:eastAsia="zh-CN"/>
              </w:rPr>
              <w:t>2</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eastAsia"/>
              </w:rPr>
            </w:pPr>
            <w:r>
              <w:rPr>
                <w:rFonts w:hint="eastAsia"/>
              </w:rPr>
              <w:t>主要生产设备有：</w:t>
            </w:r>
            <w:r>
              <w:rPr>
                <w:rFonts w:hint="eastAsia"/>
                <w:lang w:val="en-US" w:eastAsia="zh-CN"/>
              </w:rPr>
              <w:t xml:space="preserve">  切割机床、液晶投影机、剪刀机、立式钻床、缝包机、工业缝纫机</w:t>
            </w:r>
            <w:r>
              <w:rPr>
                <w:rFonts w:hint="eastAsia"/>
              </w:rPr>
              <w:t>（</w:t>
            </w:r>
            <w:r>
              <w:rPr>
                <w:rFonts w:hint="eastAsia"/>
                <w:lang w:val="en-US" w:eastAsia="zh-CN"/>
              </w:rPr>
              <w:t xml:space="preserve"> </w:t>
            </w:r>
            <w:r>
              <w:rPr>
                <w:rFonts w:hint="eastAsia"/>
              </w:rPr>
              <w:t>2~4种）</w:t>
            </w:r>
          </w:p>
          <w:p>
            <w:pPr>
              <w:shd w:val="clear" w:color="auto" w:fill="EBF1DE" w:themeFill="accent3" w:themeFillTint="32"/>
              <w:rPr>
                <w:u w:val="single"/>
              </w:rPr>
            </w:pPr>
            <w:r>
              <w:rPr>
                <w:rFonts w:hint="eastAsia"/>
              </w:rPr>
              <w:t>主要环保设备有：</w:t>
            </w:r>
            <w:r>
              <w:rPr>
                <w:rFonts w:hint="eastAsia"/>
                <w:u w:val="single"/>
                <w:lang w:val="en-US" w:eastAsia="zh-CN"/>
              </w:rPr>
              <w:t>废气处理装置、垃圾桶</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sym w:font="Wingdings 2" w:char="0052"/>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w:t>
            </w:r>
            <w:r>
              <w:rPr>
                <w:rFonts w:hint="eastAsia"/>
                <w:lang w:eastAsia="zh-CN"/>
              </w:rPr>
              <w:t>项目名称：昆明兰博面包工坊食品有限公司 招牌鲜奶土司袋（</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排入市政管网</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default" w:eastAsia="宋体"/>
                      <w:lang w:val="en-US" w:eastAsia="zh-CN"/>
                    </w:rPr>
                  </w:pPr>
                  <w:r>
                    <w:rPr>
                      <w:rFonts w:hint="eastAsia"/>
                      <w:lang w:val="en-US" w:eastAsia="zh-CN"/>
                    </w:rPr>
                    <w:t>使用集气罩</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r>
                    <w:rPr>
                      <w:rFonts w:hint="eastAsia" w:ascii="宋体" w:hAnsi="宋体"/>
                      <w:sz w:val="24"/>
                      <w:lang w:val="en-US" w:eastAsia="zh-CN"/>
                    </w:rPr>
                    <w:t>设备减噪、定期维保</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分类存放，危废处置公司及时处置</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宋体" w:hAnsi="宋体"/>
                      <w:sz w:val="24"/>
                    </w:rPr>
                    <w:t>运行控制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lang w:eastAsia="zh-CN"/>
              </w:rPr>
              <w:t>特种设备检测报告，如：</w:t>
            </w:r>
            <w:r>
              <w:rPr>
                <w:rFonts w:hint="eastAsia"/>
                <w:u w:val="single"/>
                <w:lang w:val="en-US" w:eastAsia="zh-CN"/>
              </w:rPr>
              <w:t xml:space="preserve">  无</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lang w:eastAsia="zh-CN"/>
              </w:rPr>
              <w:t>于2021年9月25日进行了的演练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ascii="Wingdings" w:hAnsi="Wingdings"/>
                <w:lang w:eastAsia="zh-CN"/>
              </w:rPr>
              <w:sym w:font="Wingdings 2" w:char="0052"/>
            </w:r>
            <w:r>
              <w:rPr>
                <w:rFonts w:hint="eastAsia"/>
                <w:lang w:eastAsia="zh-CN"/>
              </w:rPr>
              <w:t>定期（每年）：2022年1月8日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年度策划于2022年1月20日-21日实施了</w:t>
            </w:r>
            <w:r>
              <w:rPr>
                <w:rFonts w:hint="eastAsia"/>
              </w:rPr>
              <w:t>环境管理体系内部审核，对环境管理体系的符合性和有效性进行了审核。</w:t>
            </w:r>
            <w:r>
              <w:rPr>
                <w:rFonts w:hint="eastAsia"/>
                <w:lang w:eastAsia="zh-CN"/>
              </w:rPr>
              <w:t>内审发现的2项</w:t>
            </w:r>
            <w:r>
              <w:rPr>
                <w:rFonts w:hint="eastAsia"/>
              </w:rPr>
              <w:t>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lang w:eastAsia="zh-CN"/>
              </w:rPr>
              <w:t>在2022年2月23日对组织的</w:t>
            </w:r>
            <w:r>
              <w:rPr>
                <w:rFonts w:hint="eastAsia"/>
              </w:rPr>
              <w:t>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4.2</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4.3</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US" w:eastAsia="zh-CN"/>
              </w:rPr>
              <w:t>1</w:t>
            </w:r>
          </w:p>
        </w:tc>
        <w:tc>
          <w:tcPr>
            <w:tcW w:w="780" w:type="dxa"/>
            <w:shd w:val="clear" w:color="auto" w:fill="EBF1DE" w:themeFill="accent3" w:themeFillTint="32"/>
          </w:tcPr>
          <w:p>
            <w:pPr>
              <w:shd w:val="clear" w:color="auto" w:fill="EBF1DE" w:themeFill="accent3" w:themeFillTint="32"/>
              <w:rPr>
                <w:color w:val="auto"/>
                <w:lang w:eastAsia="ja-JP"/>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7.5</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9.3</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US" w:eastAsia="zh-CN"/>
              </w:rPr>
              <w:t>1</w:t>
            </w:r>
          </w:p>
        </w:tc>
        <w:tc>
          <w:tcPr>
            <w:tcW w:w="780" w:type="dxa"/>
            <w:shd w:val="clear" w:color="auto" w:fill="EBF1DE" w:themeFill="accent3" w:themeFillTint="32"/>
          </w:tcPr>
          <w:p>
            <w:pPr>
              <w:shd w:val="clear" w:color="auto" w:fill="EBF1DE" w:themeFill="accent3" w:themeFillTint="32"/>
              <w:rPr>
                <w:color w:val="auto"/>
                <w:lang w:eastAsia="ja-JP"/>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A3"/>
            </w:r>
            <w:r>
              <w:rPr>
                <w:spacing w:val="-2"/>
                <w:sz w:val="20"/>
              </w:rPr>
              <w:t>OHSMS</w:t>
            </w:r>
            <w:r>
              <w:rPr>
                <w:rFonts w:hint="eastAsia"/>
              </w:rPr>
              <w:t>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最高管理者制定了文件化的职业健康安全</w:t>
            </w:r>
            <w:r>
              <w:rPr>
                <w:rFonts w:hint="eastAsia"/>
                <w:lang w:eastAsia="zh-CN"/>
              </w:rPr>
              <w:t>管理体系方针：以人为本  守法经营  和谐发展 科学管理  求实创新  创建一流</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员工代表是——赵家学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传染病的发生</w:t>
                  </w:r>
                </w:p>
              </w:tc>
              <w:tc>
                <w:tcPr>
                  <w:tcW w:w="3965" w:type="dxa"/>
                </w:tcPr>
                <w:p>
                  <w:r>
                    <w:rPr>
                      <w:rFonts w:hint="eastAsia"/>
                    </w:rPr>
                    <w:t>安全教育培训，加强员工自我防护意识，制定传染病应急预案，发放防护用品进行日常防护。</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制定的相关应急预案和预案培训不到位或缺失，预案演练不能按计划进行；</w:t>
                  </w:r>
                </w:p>
              </w:tc>
              <w:tc>
                <w:tcPr>
                  <w:tcW w:w="3965" w:type="dxa"/>
                </w:tcPr>
                <w:p>
                  <w:r>
                    <w:rPr>
                      <w:rFonts w:hint="eastAsia"/>
                    </w:rPr>
                    <w:t>定期组织对应急预案进行演练；</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w:t>
            </w:r>
            <w:r>
              <w:rPr>
                <w:rFonts w:hint="eastAsia"/>
              </w:rPr>
              <w:sym w:font="Wingdings 2" w:char="0052"/>
            </w:r>
            <w:r>
              <w:rPr>
                <w:rFonts w:hint="eastAsia"/>
              </w:rPr>
              <w:t>化学伤害</w:t>
            </w:r>
            <w:r>
              <w:rPr>
                <w:rFonts w:hint="eastAsia"/>
              </w:rPr>
              <w:sym w:font="Wingdings 2" w:char="0052"/>
            </w:r>
            <w:r>
              <w:rPr>
                <w:rFonts w:hint="eastAsia"/>
              </w:rPr>
              <w:t>噪声□粉尘□危险作业□高低温</w:t>
            </w:r>
            <w:r>
              <w:rPr>
                <w:rFonts w:hint="eastAsia"/>
              </w:rPr>
              <w:sym w:font="Wingdings 2" w:char="0052"/>
            </w:r>
            <w:r>
              <w:rPr>
                <w:rFonts w:hint="eastAsia"/>
              </w:rPr>
              <w:t>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rPr>
              <w:sym w:font="Wingdings 2" w:char="00A3"/>
            </w:r>
            <w:r>
              <w:rPr>
                <w:rFonts w:hint="eastAsia"/>
              </w:rPr>
              <w:t>职业病体检报告书日期：</w:t>
            </w:r>
          </w:p>
          <w:p>
            <w:r>
              <w:rPr>
                <w:rFonts w:hint="eastAsia"/>
              </w:rPr>
              <w:t>□消防验收/备案证明日期：</w:t>
            </w:r>
          </w:p>
          <w:p>
            <w:pPr>
              <w:rPr>
                <w:color w:val="000000"/>
                <w:szCs w:val="18"/>
                <w:u w:val="single"/>
              </w:rPr>
            </w:pPr>
            <w:r>
              <w:rPr>
                <w:rFonts w:hint="eastAsia"/>
              </w:rPr>
              <w:sym w:font="Wingdings 2" w:char="00A3"/>
            </w:r>
            <w:r>
              <w:rPr>
                <w:rFonts w:hint="eastAsia"/>
              </w:rPr>
              <w:t>其他</w:t>
            </w:r>
            <w:r>
              <w:rPr>
                <w:rFonts w:hint="eastAsia"/>
                <w:lang w:eastAsia="zh-CN"/>
              </w:rPr>
              <w:t>——</w:t>
            </w:r>
          </w:p>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sym w:font="Wingdings 2" w:char="0052"/>
            </w: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pPr w:leftFromText="180" w:rightFromText="180" w:vertAnchor="text" w:horzAnchor="page" w:tblpXSpec="center" w:tblpY="46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0"/>
              <w:gridCol w:w="2251"/>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0" w:type="auto"/>
                  <w:tcBorders>
                    <w:bottom w:val="single" w:color="auto" w:sz="4" w:space="0"/>
                  </w:tcBorders>
                  <w:noWrap w:val="0"/>
                  <w:vAlign w:val="center"/>
                </w:tcPr>
                <w:p>
                  <w:pPr>
                    <w:pStyle w:val="3"/>
                    <w:spacing w:before="80" w:beforeLines="20" w:after="80" w:afterLines="20" w:line="320" w:lineRule="exact"/>
                    <w:ind w:left="0"/>
                    <w:jc w:val="center"/>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分目标</w:t>
                  </w:r>
                </w:p>
              </w:tc>
              <w:tc>
                <w:tcPr>
                  <w:tcW w:w="0" w:type="auto"/>
                  <w:tcBorders>
                    <w:bottom w:val="single" w:color="auto" w:sz="4" w:space="0"/>
                  </w:tcBorders>
                  <w:noWrap w:val="0"/>
                  <w:vAlign w:val="center"/>
                </w:tcPr>
                <w:p>
                  <w:pPr>
                    <w:pStyle w:val="3"/>
                    <w:spacing w:before="80" w:beforeLines="20" w:after="80" w:afterLines="20" w:line="320" w:lineRule="exact"/>
                    <w:ind w:left="0"/>
                    <w:jc w:val="center"/>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考核方法</w:t>
                  </w:r>
                </w:p>
              </w:tc>
              <w:tc>
                <w:tcPr>
                  <w:tcW w:w="0" w:type="auto"/>
                  <w:tcBorders>
                    <w:bottom w:val="single" w:color="auto" w:sz="4" w:space="0"/>
                  </w:tcBorders>
                  <w:noWrap w:val="0"/>
                  <w:vAlign w:val="center"/>
                </w:tcPr>
                <w:p>
                  <w:pPr>
                    <w:pStyle w:val="3"/>
                    <w:spacing w:before="80" w:beforeLines="20" w:after="80" w:afterLines="20" w:line="320" w:lineRule="exact"/>
                    <w:ind w:left="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考核结果1-4月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楷体" w:hAnsi="楷体" w:eastAsia="仿宋_GB2312"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无重大人身伤亡事故、无重大生产设备事故</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安全事故统计一览表</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无重大火灾爆炸事故</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考核期内统计</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员工安全教育率：100%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考核期内统计</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无职业病发生</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考核期内统计</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楷体" w:hAnsi="楷体" w:eastAsia="楷体" w:cs="宋体"/>
                      <w:color w:val="000000"/>
                      <w:kern w:val="2"/>
                      <w:sz w:val="24"/>
                      <w:szCs w:val="24"/>
                      <w:lang w:val="en-US" w:eastAsia="zh-CN" w:bidi="ar-SA"/>
                    </w:rPr>
                  </w:pPr>
                  <w:r>
                    <w:rPr>
                      <w:rFonts w:hint="eastAsia" w:ascii="楷体" w:hAnsi="楷体" w:eastAsia="楷体" w:cs="宋体"/>
                      <w:color w:val="000000"/>
                      <w:kern w:val="2"/>
                      <w:sz w:val="24"/>
                      <w:szCs w:val="24"/>
                      <w:lang w:val="en-US" w:eastAsia="zh-CN" w:bidi="ar-SA"/>
                    </w:rPr>
                    <w:t>0</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w:t>
            </w:r>
            <w:r>
              <w:rPr>
                <w:rFonts w:hint="eastAsia"/>
                <w:lang w:val="en-US" w:eastAsia="zh-CN"/>
              </w:rPr>
              <w:t>1.8万</w:t>
            </w:r>
            <w:r>
              <w:rPr>
                <w:rFonts w:hint="eastAsia"/>
              </w:rPr>
              <w:t>平方米；生产车间</w:t>
            </w:r>
            <w:r>
              <w:rPr>
                <w:rFonts w:hint="eastAsia"/>
                <w:lang w:val="en-US" w:eastAsia="zh-CN"/>
              </w:rPr>
              <w:t>2</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rPr>
                <w:rFonts w:hint="eastAsia"/>
              </w:rPr>
            </w:pPr>
            <w:r>
              <w:rPr>
                <w:rFonts w:hint="eastAsia"/>
              </w:rPr>
              <w:t>主要生产设备有：</w:t>
            </w:r>
            <w:r>
              <w:rPr>
                <w:rFonts w:hint="eastAsia"/>
                <w:lang w:val="en-US" w:eastAsia="zh-CN"/>
              </w:rPr>
              <w:t xml:space="preserve">  切割机床、液晶投影机、剪刀机、立式钻床、缝包机、工业缝纫机</w:t>
            </w:r>
            <w:r>
              <w:rPr>
                <w:rFonts w:hint="eastAsia"/>
              </w:rPr>
              <w:t>（</w:t>
            </w:r>
            <w:r>
              <w:rPr>
                <w:rFonts w:hint="eastAsia"/>
                <w:lang w:val="en-US" w:eastAsia="zh-CN"/>
              </w:rPr>
              <w:t xml:space="preserve"> </w:t>
            </w:r>
            <w:r>
              <w:rPr>
                <w:rFonts w:hint="eastAsia"/>
              </w:rPr>
              <w:t>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w:t>
            </w:r>
            <w:r>
              <w:rPr>
                <w:rFonts w:hint="eastAsia"/>
                <w:lang w:eastAsia="zh-CN"/>
              </w:rPr>
              <w:t>项目名称：昆明兰博面包工坊食品有限公司 招牌鲜奶土司袋（</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w:t>
                  </w:r>
                  <w:r>
                    <w:rPr>
                      <w:rFonts w:hint="eastAsia"/>
                    </w:rPr>
                    <w:sym w:font="Wingdings 2" w:char="0052"/>
                  </w:r>
                  <w:r>
                    <w:rPr>
                      <w:rFonts w:hint="eastAsia"/>
                    </w:rPr>
                    <w:t>挂牌上锁管理</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w:t>
                  </w:r>
                  <w:r>
                    <w:rPr>
                      <w:rFonts w:hint="eastAsia"/>
                    </w:rPr>
                    <w:sym w:font="Wingdings 2" w:char="0052"/>
                  </w:r>
                  <w:r>
                    <w:rPr>
                      <w:rFonts w:hint="eastAsia"/>
                    </w:rPr>
                    <w:t>排风系统</w:t>
                  </w:r>
                  <w:r>
                    <w:rPr>
                      <w:rFonts w:hint="eastAsia"/>
                    </w:rPr>
                    <w:sym w:font="Wingdings 2" w:char="0052"/>
                  </w:r>
                  <w:r>
                    <w:rPr>
                      <w:rFonts w:hint="eastAsia"/>
                    </w:rPr>
                    <w:t>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A3"/>
                  </w: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rPr>
                    <w:sym w:font="Wingdings 2" w:char="0052"/>
                  </w:r>
                  <w:r>
                    <w:rPr>
                      <w:rFonts w:hint="eastAsia"/>
                    </w:rPr>
                    <w:t>管理方案、运行控制、应急预案</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t>□</w:t>
            </w:r>
            <w:r>
              <w:rPr>
                <w:rFonts w:hint="eastAsia"/>
              </w:rPr>
              <w:t>未进行定期检验的有：</w:t>
            </w:r>
          </w:p>
          <w:p>
            <w:r>
              <w:rPr>
                <w:rFonts w:hint="eastAsia"/>
                <w:lang w:eastAsia="zh-CN"/>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lang w:eastAsia="zh-CN"/>
              </w:rPr>
              <w:t>于2021年9月25日进行了的演练</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lang w:eastAsia="zh-CN"/>
              </w:rPr>
              <w:sym w:font="Wingdings 2" w:char="0052"/>
            </w:r>
            <w:r>
              <w:rPr>
                <w:rFonts w:hint="eastAsia"/>
                <w:lang w:eastAsia="zh-CN"/>
              </w:rPr>
              <w:t>定期（每年）：2022年1月8日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rPr>
                <w:color w:val="000000"/>
                <w:szCs w:val="18"/>
                <w:u w:val="single"/>
              </w:rPr>
            </w:pPr>
            <w:r>
              <w:rPr>
                <w:rFonts w:hint="eastAsia"/>
                <w:color w:val="000000"/>
                <w:szCs w:val="18"/>
              </w:rPr>
              <w:t>《作业场所有害物质监测报告》：颁发日期：</w:t>
            </w:r>
          </w:p>
          <w:p>
            <w:r>
              <w:rPr>
                <w:rFonts w:hint="eastAsia"/>
              </w:rPr>
              <w:t>职业病体检：</w:t>
            </w:r>
            <w:r>
              <w:rPr>
                <w:rFonts w:hint="eastAsia" w:ascii="Wingdings" w:hAnsi="Wingdings"/>
                <w:lang w:eastAsia="zh-CN"/>
              </w:rPr>
              <w:sym w:font="Wingdings 2" w:char="00A3"/>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A3"/>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年度策划于2022年1月20日-21日实施了</w:t>
            </w:r>
            <w:r>
              <w:rPr>
                <w:rFonts w:hint="eastAsia"/>
              </w:rPr>
              <w:t>职业健康安全管理体系内部审核，对职业健康安全管理体系的符合性和有效性进行了审核。</w:t>
            </w:r>
            <w:r>
              <w:rPr>
                <w:rFonts w:hint="eastAsia"/>
                <w:lang w:eastAsia="zh-CN"/>
              </w:rPr>
              <w:t>内审发现的2项</w:t>
            </w:r>
            <w:r>
              <w:rPr>
                <w:rFonts w:hint="eastAsia"/>
              </w:rPr>
              <w:t>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lang w:eastAsia="zh-CN"/>
              </w:rPr>
              <w:t>在2022年2月23日对组织的</w:t>
            </w:r>
            <w:r>
              <w:rPr>
                <w:rFonts w:hint="eastAsia"/>
              </w:rPr>
              <w:t>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4" w:name="_GoBack" w:colFirst="1" w:colLast="9"/>
            <w:r>
              <w:rPr>
                <w:rFonts w:hint="eastAsia"/>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color w:val="auto"/>
                <w:lang w:eastAsia="ja-JP"/>
              </w:rPr>
            </w:pPr>
            <w:r>
              <w:rPr>
                <w:rFonts w:hint="eastAsia"/>
                <w:color w:val="auto"/>
                <w:lang w:val="en-US" w:eastAsia="zh-CN"/>
              </w:rPr>
              <w:t>1</w:t>
            </w:r>
          </w:p>
        </w:tc>
        <w:tc>
          <w:tcPr>
            <w:tcW w:w="768" w:type="dxa"/>
            <w:shd w:val="clear" w:color="auto" w:fill="F2DCDC" w:themeFill="accent2" w:themeFillTint="32"/>
            <w:vAlign w:val="center"/>
          </w:tcPr>
          <w:p>
            <w:pPr>
              <w:rPr>
                <w:color w:val="auto"/>
                <w:lang w:eastAsia="ja-JP"/>
              </w:rPr>
            </w:pPr>
            <w:r>
              <w:rPr>
                <w:rFonts w:hint="eastAsia"/>
                <w:color w:val="auto"/>
                <w:lang w:val="en-US" w:eastAsia="zh-CN"/>
              </w:rPr>
              <w:t>1</w:t>
            </w:r>
          </w:p>
        </w:tc>
        <w:tc>
          <w:tcPr>
            <w:tcW w:w="769" w:type="dxa"/>
            <w:shd w:val="clear" w:color="auto" w:fill="F2DCDC" w:themeFill="accent2" w:themeFillTint="32"/>
            <w:vAlign w:val="center"/>
          </w:tcPr>
          <w:p>
            <w:pPr>
              <w:rPr>
                <w:color w:val="auto"/>
                <w:lang w:eastAsia="ja-JP"/>
              </w:rPr>
            </w:pPr>
            <w:r>
              <w:rPr>
                <w:rFonts w:hint="eastAsia"/>
                <w:color w:val="auto"/>
                <w:lang w:val="en-US" w:eastAsia="zh-CN"/>
              </w:rPr>
              <w:t>1</w:t>
            </w:r>
          </w:p>
        </w:tc>
        <w:tc>
          <w:tcPr>
            <w:tcW w:w="768" w:type="dxa"/>
            <w:shd w:val="clear" w:color="auto" w:fill="F2DCDC" w:themeFill="accent2" w:themeFillTint="32"/>
            <w:vAlign w:val="center"/>
          </w:tcPr>
          <w:p>
            <w:pPr>
              <w:rPr>
                <w:color w:val="auto"/>
                <w:lang w:eastAsia="ja-JP"/>
              </w:rPr>
            </w:pPr>
            <w:r>
              <w:rPr>
                <w:rFonts w:hint="eastAsia"/>
                <w:color w:val="auto"/>
                <w:lang w:val="en-US" w:eastAsia="zh-CN"/>
              </w:rPr>
              <w:t>1</w:t>
            </w:r>
          </w:p>
        </w:tc>
        <w:tc>
          <w:tcPr>
            <w:tcW w:w="768" w:type="dxa"/>
            <w:shd w:val="clear" w:color="auto" w:fill="F2DCDC" w:themeFill="accent2" w:themeFillTint="32"/>
            <w:vAlign w:val="center"/>
          </w:tcPr>
          <w:p>
            <w:pPr>
              <w:rPr>
                <w:color w:val="auto"/>
                <w:lang w:eastAsia="ja-JP"/>
              </w:rPr>
            </w:pPr>
            <w:r>
              <w:rPr>
                <w:rFonts w:hint="eastAsia"/>
                <w:color w:val="auto"/>
                <w:lang w:val="en-US" w:eastAsia="zh-CN"/>
              </w:rPr>
              <w:t>1</w:t>
            </w:r>
          </w:p>
        </w:tc>
        <w:tc>
          <w:tcPr>
            <w:tcW w:w="769" w:type="dxa"/>
            <w:shd w:val="clear" w:color="auto" w:fill="F2DCDC" w:themeFill="accent2" w:themeFillTint="32"/>
            <w:vAlign w:val="center"/>
          </w:tcPr>
          <w:p>
            <w:pPr>
              <w:rPr>
                <w:color w:val="auto"/>
                <w:lang w:eastAsia="ja-JP"/>
              </w:rPr>
            </w:pPr>
            <w:r>
              <w:rPr>
                <w:rFonts w:hint="eastAsia"/>
                <w:color w:val="auto"/>
                <w:lang w:val="en-US" w:eastAsia="zh-CN"/>
              </w:rPr>
              <w:t>1</w:t>
            </w:r>
          </w:p>
        </w:tc>
        <w:tc>
          <w:tcPr>
            <w:tcW w:w="768" w:type="dxa"/>
            <w:shd w:val="clear" w:color="auto" w:fill="F2DCDC" w:themeFill="accent2" w:themeFillTint="32"/>
            <w:vAlign w:val="center"/>
          </w:tcPr>
          <w:p>
            <w:pPr>
              <w:rPr>
                <w:color w:val="auto"/>
                <w:lang w:eastAsia="ja-JP"/>
              </w:rPr>
            </w:pPr>
            <w:r>
              <w:rPr>
                <w:rFonts w:hint="eastAsia"/>
                <w:color w:val="auto"/>
                <w:lang w:val="en-US" w:eastAsia="zh-CN"/>
              </w:rPr>
              <w:t>1</w:t>
            </w:r>
          </w:p>
        </w:tc>
        <w:tc>
          <w:tcPr>
            <w:tcW w:w="768" w:type="dxa"/>
            <w:shd w:val="clear" w:color="auto" w:fill="F2DCDC" w:themeFill="accent2" w:themeFillTint="32"/>
            <w:vAlign w:val="center"/>
          </w:tcPr>
          <w:p>
            <w:pPr>
              <w:rPr>
                <w:color w:val="auto"/>
                <w:lang w:eastAsia="ja-JP"/>
              </w:rPr>
            </w:pPr>
            <w:r>
              <w:rPr>
                <w:rFonts w:hint="eastAsia"/>
                <w:color w:val="auto"/>
                <w:lang w:val="en-US" w:eastAsia="zh-CN"/>
              </w:rPr>
              <w:t>1</w:t>
            </w:r>
          </w:p>
        </w:tc>
        <w:tc>
          <w:tcPr>
            <w:tcW w:w="769" w:type="dxa"/>
            <w:shd w:val="clear" w:color="auto" w:fill="F2DCDC" w:themeFill="accent2" w:themeFillTint="32"/>
            <w:vAlign w:val="center"/>
          </w:tcPr>
          <w:p>
            <w:pPr>
              <w:rPr>
                <w:color w:val="FF0000"/>
                <w:lang w:eastAsia="ja-JP"/>
              </w:rPr>
            </w:pPr>
            <w:r>
              <w:rPr>
                <w:rFonts w:hint="eastAsia"/>
                <w:color w:val="FF000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7.1</w:t>
            </w:r>
          </w:p>
        </w:tc>
        <w:tc>
          <w:tcPr>
            <w:tcW w:w="768" w:type="dxa"/>
            <w:shd w:val="clear" w:color="auto" w:fill="F2DCDC" w:themeFill="accent2" w:themeFillTint="32"/>
            <w:vAlign w:val="center"/>
          </w:tcPr>
          <w:p>
            <w:pPr>
              <w:rPr>
                <w:color w:val="auto"/>
                <w:lang w:eastAsia="ja-JP"/>
              </w:rPr>
            </w:pPr>
            <w:r>
              <w:rPr>
                <w:rFonts w:hint="eastAsia"/>
                <w:color w:val="auto"/>
              </w:rPr>
              <w:t>7.2</w:t>
            </w:r>
          </w:p>
        </w:tc>
        <w:tc>
          <w:tcPr>
            <w:tcW w:w="768" w:type="dxa"/>
            <w:shd w:val="clear" w:color="auto" w:fill="F2DCDC" w:themeFill="accent2" w:themeFillTint="32"/>
            <w:vAlign w:val="center"/>
          </w:tcPr>
          <w:p>
            <w:pPr>
              <w:rPr>
                <w:color w:val="auto"/>
                <w:lang w:eastAsia="ja-JP"/>
              </w:rPr>
            </w:pPr>
            <w:r>
              <w:rPr>
                <w:rFonts w:hint="eastAsia"/>
                <w:color w:val="auto"/>
              </w:rPr>
              <w:t>7.3</w:t>
            </w:r>
          </w:p>
        </w:tc>
        <w:tc>
          <w:tcPr>
            <w:tcW w:w="769" w:type="dxa"/>
            <w:shd w:val="clear" w:color="auto" w:fill="F2DCDC" w:themeFill="accent2" w:themeFillTint="32"/>
            <w:vAlign w:val="center"/>
          </w:tcPr>
          <w:p>
            <w:pPr>
              <w:rPr>
                <w:color w:val="auto"/>
                <w:lang w:eastAsia="ja-JP"/>
              </w:rPr>
            </w:pPr>
            <w:r>
              <w:rPr>
                <w:rFonts w:hint="eastAsia"/>
                <w:color w:val="auto"/>
              </w:rPr>
              <w:t>7.4</w:t>
            </w:r>
          </w:p>
        </w:tc>
        <w:tc>
          <w:tcPr>
            <w:tcW w:w="768" w:type="dxa"/>
            <w:shd w:val="clear" w:color="auto" w:fill="F2DCDC" w:themeFill="accent2" w:themeFillTint="32"/>
            <w:vAlign w:val="center"/>
          </w:tcPr>
          <w:p>
            <w:pPr>
              <w:rPr>
                <w:color w:val="auto"/>
                <w:lang w:eastAsia="ja-JP"/>
              </w:rPr>
            </w:pPr>
            <w:r>
              <w:rPr>
                <w:rFonts w:hint="eastAsia"/>
                <w:color w:val="auto"/>
              </w:rPr>
              <w:t>7.5</w:t>
            </w:r>
          </w:p>
        </w:tc>
        <w:tc>
          <w:tcPr>
            <w:tcW w:w="768" w:type="dxa"/>
            <w:shd w:val="clear" w:color="auto" w:fill="F2DCDC" w:themeFill="accent2" w:themeFillTint="32"/>
            <w:vAlign w:val="center"/>
          </w:tcPr>
          <w:p>
            <w:pPr>
              <w:rPr>
                <w:color w:val="auto"/>
                <w:lang w:eastAsia="ja-JP"/>
              </w:rPr>
            </w:pPr>
            <w:r>
              <w:rPr>
                <w:rFonts w:hint="eastAsia"/>
                <w:color w:val="auto"/>
              </w:rPr>
              <w:t>8.1</w:t>
            </w:r>
          </w:p>
        </w:tc>
        <w:tc>
          <w:tcPr>
            <w:tcW w:w="769" w:type="dxa"/>
            <w:shd w:val="clear" w:color="auto" w:fill="F2DCDC" w:themeFill="accent2" w:themeFillTint="32"/>
            <w:vAlign w:val="center"/>
          </w:tcPr>
          <w:p>
            <w:pPr>
              <w:rPr>
                <w:color w:val="auto"/>
                <w:lang w:eastAsia="ja-JP"/>
              </w:rPr>
            </w:pPr>
            <w:r>
              <w:rPr>
                <w:rFonts w:hint="eastAsia"/>
                <w:color w:val="auto"/>
              </w:rPr>
              <w:t>8.2</w:t>
            </w:r>
          </w:p>
        </w:tc>
        <w:tc>
          <w:tcPr>
            <w:tcW w:w="768" w:type="dxa"/>
            <w:shd w:val="clear" w:color="auto" w:fill="F2DCDC" w:themeFill="accent2" w:themeFillTint="32"/>
            <w:vAlign w:val="center"/>
          </w:tcPr>
          <w:p>
            <w:pPr>
              <w:rPr>
                <w:color w:val="auto"/>
                <w:lang w:eastAsia="ja-JP"/>
              </w:rPr>
            </w:pPr>
            <w:r>
              <w:rPr>
                <w:rFonts w:hint="eastAsia"/>
                <w:color w:val="auto"/>
              </w:rPr>
              <w:t>9.1</w:t>
            </w:r>
          </w:p>
        </w:tc>
        <w:tc>
          <w:tcPr>
            <w:tcW w:w="768" w:type="dxa"/>
            <w:shd w:val="clear" w:color="auto" w:fill="F2DCDC" w:themeFill="accent2" w:themeFillTint="32"/>
            <w:vAlign w:val="center"/>
          </w:tcPr>
          <w:p>
            <w:pPr>
              <w:rPr>
                <w:color w:val="auto"/>
                <w:lang w:eastAsia="ja-JP"/>
              </w:rPr>
            </w:pPr>
            <w:r>
              <w:rPr>
                <w:rFonts w:hint="eastAsia"/>
                <w:color w:val="auto"/>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color w:val="auto"/>
                <w:lang w:eastAsia="ja-JP"/>
              </w:rPr>
            </w:pPr>
            <w:r>
              <w:rPr>
                <w:rFonts w:hint="eastAsia"/>
                <w:color w:val="auto"/>
                <w:lang w:val="en-US" w:eastAsia="zh-CN"/>
              </w:rPr>
              <w:t>1</w:t>
            </w:r>
          </w:p>
        </w:tc>
        <w:tc>
          <w:tcPr>
            <w:tcW w:w="768" w:type="dxa"/>
            <w:shd w:val="clear" w:color="auto" w:fill="F2DCDC" w:themeFill="accent2" w:themeFillTint="32"/>
            <w:vAlign w:val="center"/>
          </w:tcPr>
          <w:p>
            <w:pPr>
              <w:rPr>
                <w:color w:val="auto"/>
                <w:lang w:eastAsia="ja-JP"/>
              </w:rPr>
            </w:pPr>
            <w:r>
              <w:rPr>
                <w:rFonts w:hint="eastAsia"/>
                <w:color w:val="auto"/>
                <w:lang w:val="en-US" w:eastAsia="zh-CN"/>
              </w:rPr>
              <w:t>1</w:t>
            </w:r>
          </w:p>
        </w:tc>
        <w:tc>
          <w:tcPr>
            <w:tcW w:w="768" w:type="dxa"/>
            <w:shd w:val="clear" w:color="auto" w:fill="F2DCDC" w:themeFill="accent2" w:themeFillTint="32"/>
            <w:vAlign w:val="center"/>
          </w:tcPr>
          <w:p>
            <w:pPr>
              <w:rPr>
                <w:color w:val="auto"/>
                <w:lang w:eastAsia="ja-JP"/>
              </w:rPr>
            </w:pPr>
            <w:r>
              <w:rPr>
                <w:rFonts w:hint="eastAsia"/>
                <w:color w:val="auto"/>
                <w:lang w:val="en-US" w:eastAsia="zh-CN"/>
              </w:rPr>
              <w:t>1</w:t>
            </w:r>
          </w:p>
        </w:tc>
        <w:tc>
          <w:tcPr>
            <w:tcW w:w="769" w:type="dxa"/>
            <w:shd w:val="clear" w:color="auto" w:fill="F2DCDC" w:themeFill="accent2" w:themeFillTint="32"/>
            <w:vAlign w:val="center"/>
          </w:tcPr>
          <w:p>
            <w:pPr>
              <w:rPr>
                <w:color w:val="auto"/>
                <w:lang w:eastAsia="ja-JP"/>
              </w:rPr>
            </w:pPr>
            <w:r>
              <w:rPr>
                <w:rFonts w:hint="eastAsia"/>
                <w:color w:val="auto"/>
                <w:lang w:val="en-US" w:eastAsia="zh-CN"/>
              </w:rPr>
              <w:t>1</w:t>
            </w:r>
          </w:p>
        </w:tc>
        <w:tc>
          <w:tcPr>
            <w:tcW w:w="768" w:type="dxa"/>
            <w:shd w:val="clear" w:color="auto" w:fill="F2DCDC" w:themeFill="accent2" w:themeFillTint="32"/>
            <w:vAlign w:val="center"/>
          </w:tcPr>
          <w:p>
            <w:pPr>
              <w:rPr>
                <w:color w:val="auto"/>
                <w:lang w:eastAsia="ja-JP"/>
              </w:rPr>
            </w:pPr>
            <w:r>
              <w:rPr>
                <w:rFonts w:hint="eastAsia"/>
                <w:color w:val="auto"/>
                <w:lang w:val="en-US" w:eastAsia="zh-CN"/>
              </w:rPr>
              <w:t>1</w:t>
            </w:r>
          </w:p>
        </w:tc>
        <w:tc>
          <w:tcPr>
            <w:tcW w:w="768" w:type="dxa"/>
            <w:shd w:val="clear" w:color="auto" w:fill="F2DCDC" w:themeFill="accent2" w:themeFillTint="32"/>
            <w:vAlign w:val="center"/>
          </w:tcPr>
          <w:p>
            <w:pPr>
              <w:rPr>
                <w:color w:val="auto"/>
                <w:lang w:eastAsia="ja-JP"/>
              </w:rPr>
            </w:pPr>
            <w:r>
              <w:rPr>
                <w:rFonts w:hint="eastAsia"/>
                <w:color w:val="auto"/>
                <w:lang w:val="en-US" w:eastAsia="zh-CN"/>
              </w:rPr>
              <w:t>1</w:t>
            </w:r>
          </w:p>
        </w:tc>
        <w:tc>
          <w:tcPr>
            <w:tcW w:w="769" w:type="dxa"/>
            <w:shd w:val="clear" w:color="auto" w:fill="F2DCDC" w:themeFill="accent2" w:themeFillTint="32"/>
            <w:vAlign w:val="center"/>
          </w:tcPr>
          <w:p>
            <w:pPr>
              <w:rPr>
                <w:color w:val="auto"/>
                <w:lang w:eastAsia="ja-JP"/>
              </w:rPr>
            </w:pPr>
            <w:r>
              <w:rPr>
                <w:rFonts w:hint="eastAsia"/>
                <w:color w:val="auto"/>
                <w:lang w:val="en-US" w:eastAsia="zh-CN"/>
              </w:rPr>
              <w:t>1</w:t>
            </w:r>
          </w:p>
        </w:tc>
        <w:tc>
          <w:tcPr>
            <w:tcW w:w="768" w:type="dxa"/>
            <w:shd w:val="clear" w:color="auto" w:fill="F2DCDC" w:themeFill="accent2" w:themeFillTint="32"/>
            <w:vAlign w:val="center"/>
          </w:tcPr>
          <w:p>
            <w:pPr>
              <w:rPr>
                <w:color w:val="auto"/>
                <w:lang w:eastAsia="ja-JP"/>
              </w:rPr>
            </w:pPr>
            <w:r>
              <w:rPr>
                <w:rFonts w:hint="eastAsia"/>
                <w:color w:val="auto"/>
                <w:lang w:val="en-US" w:eastAsia="zh-CN"/>
              </w:rPr>
              <w:t>1</w:t>
            </w:r>
          </w:p>
        </w:tc>
        <w:tc>
          <w:tcPr>
            <w:tcW w:w="768" w:type="dxa"/>
            <w:shd w:val="clear" w:color="auto" w:fill="F2DCDC" w:themeFill="accent2" w:themeFillTint="32"/>
            <w:vAlign w:val="center"/>
          </w:tcPr>
          <w:p>
            <w:pPr>
              <w:rPr>
                <w:color w:val="auto"/>
                <w:lang w:eastAsia="ja-JP"/>
              </w:rPr>
            </w:pPr>
            <w:r>
              <w:rPr>
                <w:rFonts w:hint="eastAsia"/>
                <w:color w:val="auto"/>
                <w:lang w:val="en-US" w:eastAsia="zh-CN"/>
              </w:rPr>
              <w:t>1</w:t>
            </w:r>
          </w:p>
        </w:tc>
        <w:tc>
          <w:tcPr>
            <w:tcW w:w="769" w:type="dxa"/>
            <w:shd w:val="clear" w:color="auto" w:fill="F2DCDC" w:themeFill="accent2" w:themeFillTint="32"/>
            <w:vAlign w:val="center"/>
          </w:tcPr>
          <w:p>
            <w:pPr>
              <w:rPr>
                <w:color w:val="FF0000"/>
                <w:lang w:eastAsia="ja-JP"/>
              </w:rPr>
            </w:pPr>
            <w:r>
              <w:rPr>
                <w:rFonts w:hint="eastAsia"/>
                <w:color w:val="FF000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tcBorders>
              <w:bottom w:val="single" w:color="auto" w:sz="4" w:space="0"/>
            </w:tcBorders>
            <w:shd w:val="clear" w:color="auto" w:fill="F2DCDC" w:themeFill="accent2" w:themeFillTint="32"/>
            <w:vAlign w:val="center"/>
          </w:tcPr>
          <w:p>
            <w:pPr>
              <w:rPr>
                <w:color w:val="auto"/>
                <w:lang w:eastAsia="ja-JP"/>
              </w:rPr>
            </w:pPr>
          </w:p>
        </w:tc>
        <w:tc>
          <w:tcPr>
            <w:tcW w:w="768" w:type="dxa"/>
            <w:tcBorders>
              <w:bottom w:val="single" w:color="auto" w:sz="4" w:space="0"/>
            </w:tcBorders>
            <w:shd w:val="clear" w:color="auto" w:fill="F2DCDC" w:themeFill="accent2" w:themeFillTint="32"/>
            <w:vAlign w:val="center"/>
          </w:tcPr>
          <w:p>
            <w:pPr>
              <w:rPr>
                <w:color w:val="auto"/>
                <w:lang w:eastAsia="ja-JP"/>
              </w:rPr>
            </w:pPr>
          </w:p>
        </w:tc>
        <w:tc>
          <w:tcPr>
            <w:tcW w:w="768" w:type="dxa"/>
            <w:tcBorders>
              <w:bottom w:val="single" w:color="auto" w:sz="4" w:space="0"/>
            </w:tcBorders>
            <w:shd w:val="clear" w:color="auto" w:fill="F2DCDC" w:themeFill="accent2" w:themeFillTint="32"/>
            <w:vAlign w:val="center"/>
          </w:tcPr>
          <w:p>
            <w:pPr>
              <w:rPr>
                <w:color w:val="auto"/>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10.1</w:t>
            </w:r>
          </w:p>
        </w:tc>
        <w:tc>
          <w:tcPr>
            <w:tcW w:w="768" w:type="dxa"/>
            <w:shd w:val="clear" w:color="auto" w:fill="F2DCDC" w:themeFill="accent2" w:themeFillTint="32"/>
            <w:vAlign w:val="center"/>
          </w:tcPr>
          <w:p>
            <w:pPr>
              <w:rPr>
                <w:color w:val="auto"/>
                <w:lang w:eastAsia="ja-JP"/>
              </w:rPr>
            </w:pPr>
            <w:r>
              <w:rPr>
                <w:rFonts w:hint="eastAsia"/>
                <w:color w:val="auto"/>
              </w:rPr>
              <w:t>10.2</w:t>
            </w:r>
          </w:p>
        </w:tc>
        <w:tc>
          <w:tcPr>
            <w:tcW w:w="768" w:type="dxa"/>
            <w:shd w:val="clear" w:color="auto" w:fill="F2DCDC" w:themeFill="accent2" w:themeFillTint="32"/>
            <w:vAlign w:val="center"/>
          </w:tcPr>
          <w:p>
            <w:pPr>
              <w:rPr>
                <w:color w:val="auto"/>
                <w:lang w:eastAsia="ja-JP"/>
              </w:rPr>
            </w:pPr>
            <w:r>
              <w:rPr>
                <w:rFonts w:hint="eastAsia"/>
                <w:color w:val="auto"/>
              </w:rPr>
              <w:t>10.3</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color w:val="auto"/>
                <w:lang w:eastAsia="ja-JP"/>
              </w:rPr>
            </w:pPr>
            <w:r>
              <w:rPr>
                <w:rFonts w:hint="eastAsia"/>
                <w:color w:val="auto"/>
                <w:lang w:val="en-US" w:eastAsia="zh-CN"/>
              </w:rPr>
              <w:t>1</w:t>
            </w:r>
          </w:p>
        </w:tc>
        <w:tc>
          <w:tcPr>
            <w:tcW w:w="768" w:type="dxa"/>
            <w:shd w:val="clear" w:color="auto" w:fill="F2DCDC" w:themeFill="accent2" w:themeFillTint="32"/>
            <w:vAlign w:val="center"/>
          </w:tcPr>
          <w:p>
            <w:pPr>
              <w:rPr>
                <w:color w:val="auto"/>
                <w:lang w:eastAsia="ja-JP"/>
              </w:rPr>
            </w:pPr>
            <w:r>
              <w:rPr>
                <w:rFonts w:hint="eastAsia"/>
                <w:color w:val="auto"/>
                <w:lang w:val="en-US" w:eastAsia="zh-CN"/>
              </w:rPr>
              <w:t>1</w:t>
            </w:r>
          </w:p>
        </w:tc>
        <w:tc>
          <w:tcPr>
            <w:tcW w:w="768" w:type="dxa"/>
            <w:shd w:val="clear" w:color="auto" w:fill="F2DCDC" w:themeFill="accent2" w:themeFillTint="32"/>
            <w:vAlign w:val="center"/>
          </w:tcPr>
          <w:p>
            <w:pPr>
              <w:rPr>
                <w:color w:val="auto"/>
                <w:lang w:eastAsia="ja-JP"/>
              </w:rPr>
            </w:pPr>
            <w:r>
              <w:rPr>
                <w:rFonts w:hint="eastAsia"/>
                <w:color w:val="auto"/>
                <w:lang w:val="en-US" w:eastAsia="zh-CN"/>
              </w:rPr>
              <w:t>1</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lang w:eastAsia="ja-JP"/>
              </w:rPr>
            </w:pP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000000"/>
    <w:rsid w:val="59950568"/>
    <w:rsid w:val="6360689C"/>
    <w:rsid w:val="643635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Indent"/>
    <w:basedOn w:val="1"/>
    <w:qFormat/>
    <w:uiPriority w:val="0"/>
    <w:pPr>
      <w:ind w:left="360"/>
    </w:pPr>
    <w:rPr>
      <w:sz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19069</Words>
  <Characters>20195</Characters>
  <Lines>150</Lines>
  <Paragraphs>42</Paragraphs>
  <TotalTime>2</TotalTime>
  <ScaleCrop>false</ScaleCrop>
  <LinksUpToDate>false</LinksUpToDate>
  <CharactersWithSpaces>20316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2022-05-14T10:53:14Z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