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699"/>
        <w:gridCol w:w="1845"/>
        <w:gridCol w:w="411"/>
        <w:gridCol w:w="1055"/>
        <w:gridCol w:w="1245"/>
        <w:gridCol w:w="262"/>
        <w:gridCol w:w="29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01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b/>
                <w:sz w:val="20"/>
                <w:lang w:val="en-US" w:eastAsia="zh-CN"/>
              </w:rPr>
              <w:t>安庆市</w:t>
            </w:r>
            <w:r>
              <w:rPr>
                <w:b/>
                <w:sz w:val="20"/>
              </w:rPr>
              <w:t>鑫华</w:t>
            </w:r>
            <w:r>
              <w:rPr>
                <w:rFonts w:hint="eastAsia"/>
                <w:b/>
                <w:sz w:val="20"/>
                <w:lang w:val="en-US" w:eastAsia="zh-CN"/>
              </w:rPr>
              <w:t>腈</w:t>
            </w:r>
            <w:r>
              <w:rPr>
                <w:b/>
                <w:sz w:val="20"/>
              </w:rPr>
              <w:t>工贸有限责任公司</w:t>
            </w:r>
            <w:bookmarkEnd w:id="2"/>
          </w:p>
        </w:tc>
        <w:tc>
          <w:tcPr>
            <w:tcW w:w="124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16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sz w:val="21"/>
                <w:szCs w:val="21"/>
              </w:rPr>
            </w:pPr>
            <w:bookmarkStart w:id="3" w:name="专业代码"/>
            <w:r>
              <w:rPr>
                <w:b/>
                <w:sz w:val="20"/>
              </w:rPr>
              <w:t>Q：</w:t>
            </w:r>
            <w:r>
              <w:rPr>
                <w:sz w:val="21"/>
                <w:szCs w:val="21"/>
              </w:rPr>
              <w:t>04.02.00;14.02.01;14.02.02; 17.12.04；29.11.05;31.04.01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</w:t>
            </w:r>
            <w:r>
              <w:rPr>
                <w:sz w:val="21"/>
                <w:szCs w:val="21"/>
              </w:rPr>
              <w:t>04.02.00;14.02.01;14.02.02; 17.12.04；29.11.05;31.04.01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</w:t>
            </w:r>
            <w:bookmarkEnd w:id="3"/>
            <w:r>
              <w:rPr>
                <w:sz w:val="21"/>
                <w:szCs w:val="21"/>
              </w:rPr>
              <w:t>04.02.00;14.02.01;14.02.02; 17.12.04；29.11.05;31.04.01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马佳、张磊</w:t>
            </w:r>
          </w:p>
        </w:tc>
        <w:tc>
          <w:tcPr>
            <w:tcW w:w="41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0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316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6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马佳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4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16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4" w:name="_GoBack"/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60325</wp:posOffset>
                  </wp:positionV>
                  <wp:extent cx="2769870" cy="1652905"/>
                  <wp:effectExtent l="0" t="0" r="11430" b="1079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70" cy="165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关键过程有：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金属和非金属垫片的下料过程；缠绕和热处理过程为特殊过程；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需严格按照作业指导书生产，重点控制温度、压力、时间。 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重大环境因素：</w:t>
            </w:r>
            <w:r>
              <w:rPr>
                <w:rFonts w:hint="eastAsia"/>
                <w:sz w:val="18"/>
                <w:szCs w:val="18"/>
              </w:rPr>
              <w:t>潜在火灾、固废排放、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能源的消耗、危险化学品的泄漏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控制措施：集中收集外售至废品回收站；选用低噪声设备，合理布局，隔声减震，厂房隔音；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设备、电路定期检修、不定期检查，提高安全意识；做好火灾预防措施。一旦发生按相关应急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预案执行；制定目标、指标；设备、电路定期检修、降低跑冒滴漏。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1"/>
              <w:tabs>
                <w:tab w:val="left" w:pos="312"/>
              </w:tabs>
              <w:rPr>
                <w:bCs w:val="0"/>
                <w:spacing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重大危险源：</w:t>
            </w:r>
            <w:r>
              <w:rPr>
                <w:rFonts w:hint="eastAsia"/>
                <w:bCs w:val="0"/>
                <w:spacing w:val="0"/>
                <w:sz w:val="20"/>
                <w:szCs w:val="20"/>
              </w:rPr>
              <w:t>潜在火灾、</w:t>
            </w:r>
            <w:r>
              <w:rPr>
                <w:rFonts w:hint="eastAsia"/>
                <w:bCs w:val="0"/>
                <w:spacing w:val="0"/>
                <w:sz w:val="20"/>
                <w:szCs w:val="20"/>
                <w:lang w:val="en-US" w:eastAsia="zh-CN"/>
              </w:rPr>
              <w:t>危化品泄漏</w:t>
            </w:r>
            <w:r>
              <w:rPr>
                <w:rFonts w:hint="eastAsia"/>
                <w:bCs w:val="0"/>
                <w:spacing w:val="0"/>
                <w:sz w:val="20"/>
                <w:szCs w:val="20"/>
              </w:rPr>
              <w:t>、触电、机械伤害等。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控制措施：目标指标和管理方案、管理规定、运行控制、应急预案、检查控制、教育培训。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  <w:t>Q：GBT12625-90袋式除尘器用滤料及滤袋技术条件、GBT4622.3-2007缠绕式垫片技术条件、GB9130-88钢制管法兰连接用金属垫片条件、HG/T20610-2009钢制管法兰连接用非金属垫片、GBT8946-2013塑料编织袋通用技术要求、QBT3811-1999塑料打包带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  <w:t>E：《环境保护法》、《水污染防治法》、《大气污染防治法》、《环境噪声污染防治法》、《环境影响评价法》、《清洁生产促进法》、《消防条例》、《污水综合排放标准》、《大气污染物排放标准》等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0"/>
                <w:szCs w:val="20"/>
                <w:lang w:val="en-US" w:eastAsia="zh-CN"/>
              </w:rPr>
              <w:t>O：《职业卫生标准管理办法》、《作业场所职业危害申报管理办法》、《职业性健康检查管理规定》、《职业病防治法》、《安全生产条例》、《消防条例》、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检验外观、规格、力学性能。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18"/>
                <w:szCs w:val="18"/>
                <w:lang w:val="en-US" w:eastAsia="zh-CN"/>
              </w:rPr>
              <w:t>马佳、张磊</w:t>
            </w:r>
          </w:p>
        </w:tc>
        <w:tc>
          <w:tcPr>
            <w:tcW w:w="2973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4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18"/>
                <w:szCs w:val="18"/>
                <w:lang w:val="en-US" w:eastAsia="zh-CN"/>
              </w:rPr>
              <w:t>张磊</w:t>
            </w:r>
          </w:p>
        </w:tc>
        <w:tc>
          <w:tcPr>
            <w:tcW w:w="2973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6EDC20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uiPriority w:val="99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2022-05-14T07:04:28Z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