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0109-2022-EO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浙江华昌液压机械有限公司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2022年04月09日 上午至2022年04月09日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浙江省杭州市临安区青山湖街道高庆路88号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1140" w:type="dxa"/>
            <w:vAlign w:val="center"/>
          </w:tcPr>
          <w:p>
            <w:pPr>
              <w:spacing w:line="240" w:lineRule="exact"/>
              <w:jc w:val="center"/>
              <w:rPr>
                <w:b/>
                <w:color w:val="000000"/>
                <w:szCs w:val="21"/>
              </w:rPr>
            </w:pPr>
            <w:r>
              <w:rPr>
                <w:b/>
                <w:color w:val="000000"/>
                <w:szCs w:val="21"/>
              </w:rPr>
              <w:t>E:18.01.02</w:t>
            </w:r>
          </w:p>
          <w:p>
            <w:pPr>
              <w:spacing w:line="240" w:lineRule="exact"/>
              <w:jc w:val="center"/>
              <w:rPr>
                <w:b/>
                <w:color w:val="000000"/>
                <w:szCs w:val="21"/>
              </w:rPr>
            </w:pPr>
            <w:r>
              <w:rPr>
                <w:b/>
                <w:color w:val="000000"/>
                <w:szCs w:val="21"/>
              </w:rPr>
              <w:t>O:18.01.02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2019-N1OHSMS-2059501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卢晶</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2021-N0EMS-1251867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浙江华昌液压机械有限公司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浙江省杭州市临安区青山湖街道相府路666</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310006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浙江省杭州市临安区青山湖街道高庆路88号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310006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汪晖</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15306503511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程三红</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马彬荣</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5" w:name="审核范围"/>
            <w:r>
              <w:t>E：液压缸、液压阀的设计、生产所涉及场所的相关环境管理活动</w:t>
            </w:r>
          </w:p>
          <w:p>
            <w:pPr>
              <w:tabs>
                <w:tab w:val="left" w:pos="360"/>
              </w:tabs>
              <w:ind w:left="360" w:hanging="360"/>
              <w:rPr>
                <w:rFonts w:ascii="宋体" w:hAnsi="宋体"/>
                <w:b/>
                <w:color w:val="000000"/>
                <w:szCs w:val="21"/>
              </w:rPr>
            </w:pPr>
            <w:r>
              <w:t>O：液压缸、液压阀的设计、生产所涉及场所的相关职业健康安全管理活动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1200785" cy="1588770"/>
                  <wp:effectExtent l="0" t="0" r="571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200785" cy="1588770"/>
                          </a:xfrm>
                          <a:prstGeom prst="rect">
                            <a:avLst/>
                          </a:prstGeom>
                          <a:noFill/>
                          <a:ln>
                            <a:noFill/>
                          </a:ln>
                        </pic:spPr>
                      </pic:pic>
                    </a:graphicData>
                  </a:graphic>
                </wp:inline>
              </w:drawing>
            </w:r>
            <w:r>
              <w:drawing>
                <wp:inline distT="0" distB="0" distL="114300" distR="114300">
                  <wp:extent cx="1092835" cy="1584960"/>
                  <wp:effectExtent l="0" t="0" r="1206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092835" cy="15849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液压缸、液压阀的设计、生产所涉及场所的相关环境管理活动</w:t>
            </w:r>
          </w:p>
        </w:tc>
        <w:tc>
          <w:tcPr>
            <w:tcW w:w="2006" w:type="dxa"/>
            <w:gridSpan w:val="3"/>
            <w:vAlign w:val="center"/>
          </w:tcPr>
          <w:p>
            <w:pPr>
              <w:spacing w:line="400" w:lineRule="exact"/>
              <w:rPr>
                <w:rFonts w:ascii="宋体" w:hAnsi="宋体"/>
                <w:b/>
                <w:color w:val="000000"/>
                <w:szCs w:val="21"/>
              </w:rPr>
            </w:pPr>
            <w:r>
              <w:t>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液压缸、液压阀的设计、生产所涉及场所的相关职业健康安全管理活动</w:t>
            </w:r>
          </w:p>
        </w:tc>
        <w:tc>
          <w:tcPr>
            <w:tcW w:w="2006" w:type="dxa"/>
            <w:gridSpan w:val="3"/>
            <w:vAlign w:val="center"/>
          </w:tcPr>
          <w:p>
            <w:pPr>
              <w:spacing w:line="400" w:lineRule="exact"/>
              <w:rPr>
                <w:rFonts w:ascii="宋体" w:hAnsi="宋体"/>
                <w:b/>
                <w:color w:val="000000"/>
                <w:szCs w:val="21"/>
              </w:rPr>
            </w:pPr>
            <w:r>
              <w:t>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159"/>
        <w:gridCol w:w="650"/>
        <w:gridCol w:w="2660"/>
        <w:gridCol w:w="18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5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5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66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浙江华昌液压机械有限公司</w:t>
            </w:r>
          </w:p>
          <w:p>
            <w:pPr>
              <w:spacing w:before="40" w:after="40"/>
              <w:rPr>
                <w:sz w:val="21"/>
                <w:szCs w:val="21"/>
                <w:lang w:val="de-DE" w:eastAsia="ja-JP"/>
              </w:rPr>
            </w:pPr>
            <w:r>
              <w:rPr>
                <w:sz w:val="21"/>
                <w:szCs w:val="21"/>
              </w:rPr>
              <w:t>浙江省杭州市临安区青山湖街道相府路666</w:t>
            </w:r>
          </w:p>
        </w:tc>
        <w:tc>
          <w:tcPr>
            <w:tcW w:w="1159" w:type="dxa"/>
          </w:tcPr>
          <w:p>
            <w:pPr>
              <w:spacing w:before="40" w:after="40"/>
              <w:rPr>
                <w:rFonts w:eastAsia="黑体"/>
                <w:szCs w:val="21"/>
                <w:lang w:val="de-DE" w:eastAsia="ja-JP"/>
              </w:rPr>
            </w:pPr>
            <w:r>
              <w:rPr>
                <w:sz w:val="21"/>
                <w:szCs w:val="21"/>
              </w:rPr>
              <w:t>浙江省杭州市临安区青山湖街道高庆路88号</w:t>
            </w:r>
          </w:p>
        </w:tc>
        <w:tc>
          <w:tcPr>
            <w:tcW w:w="650" w:type="dxa"/>
            <w:vAlign w:val="center"/>
          </w:tcPr>
          <w:p>
            <w:pPr>
              <w:spacing w:before="40" w:after="40"/>
              <w:rPr>
                <w:rFonts w:hint="default" w:eastAsia="黑体"/>
                <w:szCs w:val="21"/>
                <w:lang w:val="en-US" w:eastAsia="zh-CN"/>
              </w:rPr>
            </w:pPr>
            <w:r>
              <w:rPr>
                <w:rFonts w:hint="eastAsia" w:eastAsia="黑体"/>
                <w:szCs w:val="21"/>
                <w:lang w:val="en-US" w:eastAsia="zh-CN"/>
              </w:rPr>
              <w:t>300</w:t>
            </w:r>
          </w:p>
        </w:tc>
        <w:tc>
          <w:tcPr>
            <w:tcW w:w="2660" w:type="dxa"/>
            <w:vAlign w:val="center"/>
          </w:tcPr>
          <w:p>
            <w:r>
              <w:t>E：液压缸、液压阀的设计、生产所涉及场所的相关环境管理活动</w:t>
            </w:r>
          </w:p>
          <w:p>
            <w:pPr>
              <w:pStyle w:val="19"/>
              <w:rPr>
                <w:rFonts w:eastAsia="黑体" w:cs="Arial"/>
                <w:sz w:val="21"/>
                <w:szCs w:val="21"/>
                <w:lang w:val="en-US" w:eastAsia="ja-JP"/>
              </w:rPr>
            </w:pPr>
            <w:r>
              <w:t>O：液压缸、液压阀的设计、生产所涉及场所的相关职业健康安全管理活动</w:t>
            </w:r>
          </w:p>
        </w:tc>
        <w:tc>
          <w:tcPr>
            <w:tcW w:w="1841" w:type="dxa"/>
            <w:vAlign w:val="center"/>
          </w:tcPr>
          <w:p>
            <w:pPr>
              <w:rPr>
                <w:rFonts w:ascii="宋体" w:hAnsi="宋体"/>
                <w:b/>
                <w:sz w:val="21"/>
                <w:szCs w:val="21"/>
              </w:rPr>
            </w:pPr>
            <w:r>
              <w:rPr>
                <w:rFonts w:hint="eastAsia" w:ascii="宋体" w:hAnsi="宋体"/>
                <w:b/>
                <w:sz w:val="21"/>
                <w:szCs w:val="21"/>
              </w:rPr>
              <w:t>■GB/T24001-2016/ISO 14001:2015 ■GB/T 45001-2020/ISO45001：2018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tcPr>
          <w:p>
            <w:pPr>
              <w:rPr>
                <w:rFonts w:eastAsia="黑体"/>
                <w:szCs w:val="21"/>
              </w:rPr>
            </w:pPr>
            <w:r>
              <w:rPr>
                <w:rFonts w:eastAsia="黑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159" w:type="dxa"/>
            <w:vAlign w:val="center"/>
          </w:tcPr>
          <w:p>
            <w:pPr>
              <w:spacing w:before="40" w:after="40"/>
              <w:rPr>
                <w:rFonts w:eastAsia="黑体"/>
                <w:szCs w:val="21"/>
                <w:lang w:eastAsia="ja-JP"/>
              </w:rPr>
            </w:pPr>
          </w:p>
        </w:tc>
        <w:tc>
          <w:tcPr>
            <w:tcW w:w="650" w:type="dxa"/>
            <w:vAlign w:val="center"/>
          </w:tcPr>
          <w:p>
            <w:pPr>
              <w:spacing w:before="40" w:after="40"/>
              <w:rPr>
                <w:rFonts w:eastAsia="黑体"/>
                <w:szCs w:val="21"/>
                <w:lang w:eastAsia="ja-JP"/>
              </w:rPr>
            </w:pPr>
          </w:p>
        </w:tc>
        <w:tc>
          <w:tcPr>
            <w:tcW w:w="266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159" w:type="dxa"/>
            <w:vAlign w:val="center"/>
          </w:tcPr>
          <w:p>
            <w:pPr>
              <w:spacing w:before="40" w:after="40"/>
              <w:rPr>
                <w:rFonts w:eastAsia="黑体"/>
                <w:szCs w:val="21"/>
                <w:lang w:eastAsia="ja-JP"/>
              </w:rPr>
            </w:pPr>
          </w:p>
        </w:tc>
        <w:tc>
          <w:tcPr>
            <w:tcW w:w="650" w:type="dxa"/>
            <w:vAlign w:val="center"/>
          </w:tcPr>
          <w:p>
            <w:pPr>
              <w:spacing w:before="40" w:after="40"/>
              <w:rPr>
                <w:rFonts w:eastAsia="黑体"/>
                <w:szCs w:val="21"/>
                <w:lang w:eastAsia="ja-JP"/>
              </w:rPr>
            </w:pPr>
          </w:p>
        </w:tc>
        <w:tc>
          <w:tcPr>
            <w:tcW w:w="266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159" w:type="dxa"/>
            <w:vAlign w:val="center"/>
          </w:tcPr>
          <w:p>
            <w:pPr>
              <w:spacing w:before="40" w:after="40"/>
              <w:rPr>
                <w:rFonts w:eastAsia="黑体"/>
                <w:szCs w:val="21"/>
                <w:lang w:eastAsia="ja-JP"/>
              </w:rPr>
            </w:pPr>
          </w:p>
        </w:tc>
        <w:tc>
          <w:tcPr>
            <w:tcW w:w="650" w:type="dxa"/>
            <w:vAlign w:val="center"/>
          </w:tcPr>
          <w:p>
            <w:pPr>
              <w:spacing w:before="40" w:after="40"/>
              <w:rPr>
                <w:rFonts w:eastAsia="黑体"/>
                <w:szCs w:val="21"/>
                <w:lang w:eastAsia="ja-JP"/>
              </w:rPr>
            </w:pPr>
          </w:p>
        </w:tc>
        <w:tc>
          <w:tcPr>
            <w:tcW w:w="266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159" w:type="dxa"/>
            <w:vAlign w:val="center"/>
          </w:tcPr>
          <w:p>
            <w:pPr>
              <w:spacing w:before="40" w:after="40"/>
              <w:rPr>
                <w:rFonts w:eastAsia="黑体"/>
                <w:szCs w:val="21"/>
                <w:lang w:eastAsia="ja-JP"/>
              </w:rPr>
            </w:pPr>
          </w:p>
        </w:tc>
        <w:tc>
          <w:tcPr>
            <w:tcW w:w="650" w:type="dxa"/>
            <w:vAlign w:val="center"/>
          </w:tcPr>
          <w:p>
            <w:pPr>
              <w:spacing w:before="40" w:after="40"/>
              <w:rPr>
                <w:rFonts w:eastAsia="黑体"/>
                <w:szCs w:val="21"/>
                <w:lang w:eastAsia="ja-JP"/>
              </w:rPr>
            </w:pPr>
          </w:p>
        </w:tc>
        <w:tc>
          <w:tcPr>
            <w:tcW w:w="266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rPr>
              <w:t>年</w:t>
            </w:r>
            <w:r>
              <w:rPr>
                <w:rFonts w:hint="eastAsia" w:ascii="宋体" w:hAnsi="宋体"/>
                <w:b/>
                <w:color w:val="000000"/>
                <w:szCs w:val="21"/>
                <w:lang w:val="en-US" w:eastAsia="zh-CN"/>
              </w:rPr>
              <w:t>12</w:t>
            </w:r>
            <w:r>
              <w:rPr>
                <w:rFonts w:hint="eastAsia" w:ascii="宋体" w:hAnsi="宋体"/>
                <w:b/>
                <w:color w:val="000000"/>
                <w:szCs w:val="21"/>
              </w:rPr>
              <w:t xml:space="preserve">月 </w:t>
            </w:r>
            <w:r>
              <w:rPr>
                <w:rFonts w:hint="eastAsia" w:ascii="宋体" w:hAnsi="宋体"/>
                <w:b/>
                <w:color w:val="000000"/>
                <w:szCs w:val="21"/>
                <w:lang w:val="en-US" w:eastAsia="zh-CN"/>
              </w:rPr>
              <w:t>21-22</w:t>
            </w:r>
            <w:r>
              <w:rPr>
                <w:rFonts w:hint="eastAsia" w:ascii="宋体" w:hAnsi="宋体"/>
                <w:b/>
                <w:color w:val="000000"/>
                <w:szCs w:val="21"/>
              </w:rPr>
              <w:t>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2022年1月25日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-0</w:t>
            </w:r>
            <w:r>
              <w:rPr>
                <w:rFonts w:hint="eastAsia" w:ascii="宋体"/>
                <w:b/>
                <w:color w:val="000000"/>
                <w:szCs w:val="21"/>
                <w:lang w:val="en-US" w:eastAsia="zh-CN"/>
              </w:rPr>
              <w:t>4</w:t>
            </w:r>
            <w:r>
              <w:rPr>
                <w:rFonts w:hint="eastAsia" w:ascii="宋体"/>
                <w:b/>
                <w:color w:val="000000"/>
                <w:szCs w:val="21"/>
              </w:rPr>
              <w:t>-1</w:t>
            </w:r>
            <w:bookmarkEnd w:id="36"/>
            <w:r>
              <w:rPr>
                <w:rFonts w:hint="eastAsia" w:ascii="宋体"/>
                <w:b/>
                <w:color w:val="000000"/>
                <w:szCs w:val="21"/>
                <w:lang w:val="en-US" w:eastAsia="zh-CN"/>
              </w:rPr>
              <w:t>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lang w:val="en-US" w:eastAsia="zh-CN"/>
        </w:rPr>
        <w:drawing>
          <wp:anchor distT="0" distB="0" distL="114300" distR="114300" simplePos="0" relativeHeight="251663360" behindDoc="0" locked="0" layoutInCell="1" allowOverlap="1">
            <wp:simplePos x="0" y="0"/>
            <wp:positionH relativeFrom="column">
              <wp:posOffset>4860290</wp:posOffset>
            </wp:positionH>
            <wp:positionV relativeFrom="paragraph">
              <wp:posOffset>212090</wp:posOffset>
            </wp:positionV>
            <wp:extent cx="735330" cy="561340"/>
            <wp:effectExtent l="0" t="0" r="1270" b="10160"/>
            <wp:wrapNone/>
            <wp:docPr id="28" name="图片 28" descr="122b13c75f73cee4eb835a61302e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22b13c75f73cee4eb835a61302e979"/>
                    <pic:cNvPicPr>
                      <a:picLocks noChangeAspect="1"/>
                    </pic:cNvPicPr>
                  </pic:nvPicPr>
                  <pic:blipFill>
                    <a:blip r:embed="rId8"/>
                    <a:stretch>
                      <a:fillRect/>
                    </a:stretch>
                  </pic:blipFill>
                  <pic:spPr>
                    <a:xfrm>
                      <a:off x="0" y="0"/>
                      <a:ext cx="735330" cy="56134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生产现场张贴的安全警示标识不足</w:t>
            </w:r>
          </w:p>
        </w:tc>
        <w:tc>
          <w:tcPr>
            <w:tcW w:w="922"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GB/T45001</w:t>
            </w:r>
          </w:p>
        </w:tc>
        <w:tc>
          <w:tcPr>
            <w:tcW w:w="1133"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O8.1</w:t>
            </w:r>
          </w:p>
        </w:tc>
        <w:tc>
          <w:tcPr>
            <w:tcW w:w="934"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2</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eastAsia" w:eastAsia="宋体"/>
                <w:b/>
                <w:color w:val="000000"/>
                <w:szCs w:val="21"/>
                <w:lang w:val="en-US"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r>
              <w:rPr>
                <w:rFonts w:hint="eastAsia"/>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7ABD2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2022-04-09T05:43:24Z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