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沈阳市中兴防爆电器总厂有限公司</w:t>
      </w:r>
    </w:p>
    <w:p>
      <w:pPr>
        <w:spacing w:line="360" w:lineRule="auto"/>
        <w:ind w:firstLine="960" w:firstLineChars="200"/>
        <w:jc w:val="left"/>
        <w:rPr>
          <w:rFonts w:hint="eastAsia"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0019</w:t>
      </w:r>
      <w:r>
        <w:rPr>
          <w:rFonts w:hint="eastAsia" w:ascii="宋体" w:hAnsi="宋体"/>
          <w:sz w:val="32"/>
          <w:u w:val="single"/>
        </w:rPr>
        <w:t>-2</w:t>
      </w:r>
      <w:r>
        <w:rPr>
          <w:rFonts w:hint="eastAsia" w:ascii="宋体" w:hAnsi="宋体"/>
          <w:sz w:val="32"/>
          <w:u w:val="single"/>
          <w:lang w:val="en-US" w:eastAsia="zh-CN"/>
        </w:rPr>
        <w:t>018</w:t>
      </w:r>
      <w:r>
        <w:rPr>
          <w:rFonts w:hint="eastAsia" w:ascii="宋体" w:hAnsi="宋体"/>
          <w:sz w:val="32"/>
          <w:u w:val="single"/>
        </w:rPr>
        <w:t>-202</w:t>
      </w:r>
      <w:bookmarkEnd w:id="1"/>
      <w:r>
        <w:rPr>
          <w:rFonts w:hint="eastAsia" w:ascii="宋体" w:hAnsi="宋体"/>
          <w:sz w:val="32"/>
          <w:u w:val="single"/>
          <w:lang w:val="en-US" w:eastAsia="zh-CN"/>
        </w:rPr>
        <w:t>2</w:t>
      </w:r>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019</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18</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2</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2"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沈阳市中兴防爆电器总厂有限公司</w:t>
            </w:r>
          </w:p>
        </w:tc>
        <w:tc>
          <w:tcPr>
            <w:tcW w:w="162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Cs w:val="21"/>
                <w:lang w:eastAsia="zh-CN"/>
              </w:rPr>
              <w:t>李欣欣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cs="宋体" w:asciiTheme="minorEastAsia" w:hAnsiTheme="minorEastAsia"/>
                <w:kern w:val="0"/>
                <w:szCs w:val="21"/>
              </w:rPr>
              <w:t>认证证书编号</w:t>
            </w:r>
          </w:p>
        </w:tc>
        <w:tc>
          <w:tcPr>
            <w:tcW w:w="3362" w:type="dxa"/>
            <w:vAlign w:val="top"/>
          </w:tcPr>
          <w:p>
            <w:pPr>
              <w:tabs>
                <w:tab w:val="left" w:pos="880"/>
              </w:tabs>
              <w:autoSpaceDE w:val="0"/>
              <w:autoSpaceDN w:val="0"/>
              <w:adjustRightInd w:val="0"/>
              <w:spacing w:before="35" w:line="276" w:lineRule="auto"/>
              <w:ind w:right="161" w:rightChars="0"/>
              <w:rPr>
                <w:rFonts w:hint="default" w:asciiTheme="minorEastAsia" w:hAnsiTheme="minorEastAsia" w:eastAsiaTheme="minorEastAsia"/>
                <w:sz w:val="21"/>
                <w:szCs w:val="21"/>
                <w:highlight w:val="none"/>
                <w:lang w:val="en-US" w:eastAsia="zh-CN"/>
              </w:rPr>
            </w:pPr>
            <w:r>
              <w:rPr>
                <w:rFonts w:cs="宋体" w:asciiTheme="minorEastAsia" w:hAnsiTheme="minorEastAsia"/>
                <w:kern w:val="0"/>
                <w:szCs w:val="21"/>
              </w:rPr>
              <w:t>ISC-201</w:t>
            </w:r>
            <w:r>
              <w:rPr>
                <w:rFonts w:hint="eastAsia" w:cs="宋体" w:asciiTheme="minorEastAsia" w:hAnsiTheme="minorEastAsia"/>
                <w:kern w:val="0"/>
                <w:szCs w:val="21"/>
                <w:lang w:val="en-US" w:eastAsia="zh-CN"/>
              </w:rPr>
              <w:t>8</w:t>
            </w:r>
            <w:r>
              <w:rPr>
                <w:rFonts w:cs="宋体" w:asciiTheme="minorEastAsia" w:hAnsiTheme="minorEastAsia"/>
                <w:kern w:val="0"/>
                <w:szCs w:val="21"/>
              </w:rPr>
              <w:t>-0</w:t>
            </w:r>
            <w:r>
              <w:rPr>
                <w:rFonts w:hint="eastAsia" w:cs="宋体" w:asciiTheme="minorEastAsia" w:hAnsiTheme="minorEastAsia"/>
                <w:kern w:val="0"/>
                <w:szCs w:val="21"/>
                <w:lang w:val="en-US" w:eastAsia="zh-CN"/>
              </w:rPr>
              <w:t>229</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cs="宋体" w:asciiTheme="minorEastAsia" w:hAnsiTheme="minorEastAsia"/>
                <w:kern w:val="0"/>
                <w:szCs w:val="21"/>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cs="宋体" w:asciiTheme="minorEastAsia" w:hAnsiTheme="minorEastAsia"/>
                <w:kern w:val="0"/>
                <w:szCs w:val="21"/>
              </w:rPr>
              <w:t>202</w:t>
            </w:r>
            <w:r>
              <w:rPr>
                <w:rFonts w:hint="eastAsia" w:cs="宋体" w:asciiTheme="minorEastAsia" w:hAnsiTheme="minorEastAsia"/>
                <w:kern w:val="0"/>
                <w:szCs w:val="21"/>
                <w:lang w:val="en-US" w:eastAsia="zh-CN"/>
              </w:rPr>
              <w:t>3</w:t>
            </w:r>
            <w:r>
              <w:rPr>
                <w:rFonts w:cs="宋体" w:asciiTheme="minorEastAsia" w:hAnsiTheme="minorEastAsia"/>
                <w:kern w:val="0"/>
                <w:szCs w:val="21"/>
              </w:rPr>
              <w:t>-0</w:t>
            </w:r>
            <w:r>
              <w:rPr>
                <w:rFonts w:hint="eastAsia" w:cs="宋体" w:asciiTheme="minorEastAsia" w:hAnsiTheme="minorEastAsia"/>
                <w:kern w:val="0"/>
                <w:szCs w:val="21"/>
                <w:lang w:val="en-US" w:eastAsia="zh-CN"/>
              </w:rPr>
              <w:t>3</w:t>
            </w:r>
            <w:r>
              <w:rPr>
                <w:rFonts w:cs="宋体" w:asciiTheme="minorEastAsia" w:hAnsiTheme="minorEastAsia"/>
                <w:kern w:val="0"/>
                <w:szCs w:val="21"/>
              </w:rPr>
              <w:t>-</w:t>
            </w:r>
            <w:r>
              <w:rPr>
                <w:rFonts w:hint="eastAsia" w:cs="宋体" w:asciiTheme="minorEastAsia" w:hAnsiTheme="minorEastAsia"/>
                <w:kern w:val="0"/>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4</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02</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 w:val="21"/>
                <w:szCs w:val="21"/>
              </w:rPr>
            </w:pPr>
            <w:r>
              <w:rPr>
                <w:rFonts w:hint="eastAsia" w:cs="宋体" w:asciiTheme="minorEastAsia" w:hAnsiTheme="minorEastAsia"/>
                <w:kern w:val="0"/>
                <w:szCs w:val="21"/>
              </w:rPr>
              <w:t>姓名及确认号</w:t>
            </w:r>
          </w:p>
        </w:tc>
        <w:tc>
          <w:tcPr>
            <w:tcW w:w="3362" w:type="dxa"/>
            <w:vAlign w:val="center"/>
          </w:tcPr>
          <w:p>
            <w:pPr>
              <w:tabs>
                <w:tab w:val="left" w:pos="880"/>
              </w:tabs>
              <w:autoSpaceDE w:val="0"/>
              <w:autoSpaceDN w:val="0"/>
              <w:adjustRightInd w:val="0"/>
              <w:spacing w:before="35" w:line="276" w:lineRule="auto"/>
              <w:ind w:right="161" w:rightChars="0"/>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cs="宋体" w:asciiTheme="minorEastAsia" w:hAnsiTheme="minorEastAsia"/>
                <w:kern w:val="0"/>
                <w:szCs w:val="21"/>
                <w:lang w:eastAsia="zh-CN"/>
              </w:rPr>
              <w:t>武秀云</w:t>
            </w:r>
            <w:r>
              <w:rPr>
                <w:rFonts w:hint="eastAsia" w:cs="宋体" w:asciiTheme="minorEastAsia" w:hAnsiTheme="minorEastAsia"/>
                <w:kern w:val="0"/>
                <w:szCs w:val="21"/>
                <w:lang w:val="en-US" w:eastAsia="zh-CN"/>
              </w:rPr>
              <w:t xml:space="preserve"> </w:t>
            </w:r>
            <w:r>
              <w:rPr>
                <w:rFonts w:cs="宋体" w:asciiTheme="minorEastAsia" w:hAnsiTheme="minorEastAsia"/>
                <w:kern w:val="0"/>
                <w:szCs w:val="21"/>
              </w:rPr>
              <w:t>2020-M1MMS-1274370</w:t>
            </w:r>
          </w:p>
        </w:tc>
        <w:tc>
          <w:tcPr>
            <w:tcW w:w="1623" w:type="dxa"/>
            <w:vAlign w:val="center"/>
          </w:tcPr>
          <w:p>
            <w:pPr>
              <w:spacing w:line="240" w:lineRule="exact"/>
              <w:jc w:val="center"/>
              <w:rPr>
                <w:rFonts w:cs="宋体" w:asciiTheme="minorEastAsia" w:hAnsiTheme="minorEastAsia"/>
                <w:kern w:val="0"/>
                <w:sz w:val="21"/>
                <w:szCs w:val="21"/>
              </w:rPr>
            </w:pPr>
            <w:r>
              <w:rPr>
                <w:rFonts w:cs="宋体" w:asciiTheme="minorEastAsia" w:hAnsiTheme="minorEastAsia"/>
                <w:bCs/>
                <w:kern w:val="0"/>
                <w:szCs w:val="21"/>
              </w:rPr>
              <w:t>监督审核涉及的区域或部门</w:t>
            </w:r>
          </w:p>
        </w:tc>
        <w:tc>
          <w:tcPr>
            <w:tcW w:w="2561" w:type="dxa"/>
            <w:vAlign w:val="top"/>
          </w:tcPr>
          <w:p>
            <w:pPr>
              <w:tabs>
                <w:tab w:val="left" w:pos="880"/>
              </w:tabs>
              <w:autoSpaceDE w:val="0"/>
              <w:autoSpaceDN w:val="0"/>
              <w:adjustRightInd w:val="0"/>
              <w:spacing w:before="35" w:line="360" w:lineRule="auto"/>
              <w:ind w:right="161" w:rightChars="0"/>
              <w:rPr>
                <w:rFonts w:ascii="宋体" w:hAnsi="宋体" w:eastAsia="宋体" w:cs="Times New Roman"/>
                <w:bCs/>
                <w:sz w:val="21"/>
                <w:szCs w:val="21"/>
              </w:rPr>
            </w:pPr>
            <w:r>
              <w:rPr>
                <w:rFonts w:hint="eastAsia" w:ascii="宋体" w:hAnsi="宋体" w:cs="宋体"/>
                <w:bCs/>
                <w:kern w:val="0"/>
                <w:sz w:val="21"/>
                <w:szCs w:val="21"/>
                <w:lang w:eastAsia="zh-CN"/>
              </w:rPr>
              <w:t>质检部、企管部、技术部、</w:t>
            </w:r>
            <w:r>
              <w:rPr>
                <w:rFonts w:hint="eastAsia"/>
              </w:rPr>
              <w:t>生产部</w:t>
            </w:r>
            <w:r>
              <w:rPr>
                <w:rFonts w:hint="eastAsia"/>
                <w:lang w:eastAsia="zh-CN"/>
              </w:rPr>
              <w:t>、销售部、物管部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沈阳市中兴防爆电器总厂有限公司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4作业区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1月13</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w:t>
      </w:r>
      <w:r>
        <w:rPr>
          <w:rFonts w:hint="eastAsia" w:ascii="宋体" w:hAnsi="宋体" w:cs="宋体"/>
          <w:bCs/>
          <w:kern w:val="0"/>
          <w:szCs w:val="21"/>
          <w:highlight w:val="none"/>
          <w:lang w:eastAsia="zh-CN"/>
        </w:rPr>
        <w:t>李欣欣任</w:t>
      </w:r>
      <w:bookmarkStart w:id="4" w:name="_GoBack"/>
      <w:bookmarkEnd w:id="4"/>
      <w:r>
        <w:rPr>
          <w:rFonts w:hint="eastAsia" w:ascii="宋体" w:hAnsi="宋体" w:cs="宋体"/>
          <w:bCs/>
          <w:kern w:val="0"/>
          <w:szCs w:val="21"/>
          <w:highlight w:val="none"/>
          <w:lang w:eastAsia="zh-CN"/>
        </w:rPr>
        <w:t>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6</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4个作业区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19</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李炎主持，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rFonts w:ascii="Times New Roman" w:hAnsi="Times New Roman" w:cs="Times New Roman"/>
          <w:bCs/>
          <w:kern w:val="0"/>
          <w:szCs w:val="21"/>
        </w:rPr>
        <w:t>该企业为</w:t>
      </w:r>
      <w:r>
        <w:rPr>
          <w:rFonts w:hint="eastAsia" w:ascii="Times New Roman" w:hAnsi="Times New Roman" w:cs="Times New Roman"/>
          <w:bCs/>
          <w:kern w:val="0"/>
          <w:szCs w:val="21"/>
          <w:lang w:eastAsia="zh-CN"/>
        </w:rPr>
        <w:t>：</w:t>
      </w:r>
      <w:r>
        <w:rPr>
          <w:color w:val="000000"/>
          <w:szCs w:val="21"/>
        </w:rPr>
        <w:t>许可范围内的防爆电器、防爆灯具、防爆附件的设计、生产及服务等</w:t>
      </w:r>
      <w:r>
        <w:rPr>
          <w:rFonts w:hint="eastAsia" w:ascii="宋体" w:hAnsi="宋体"/>
          <w:szCs w:val="21"/>
          <w:lang w:eastAsia="zh-CN"/>
        </w:rPr>
        <w:t>。</w:t>
      </w:r>
      <w:r>
        <w:rPr>
          <w:rFonts w:hint="eastAsia" w:ascii="宋体" w:hAnsi="宋体" w:cs="宋体"/>
          <w:bCs/>
          <w:kern w:val="0"/>
          <w:sz w:val="21"/>
          <w:szCs w:val="21"/>
          <w:lang w:eastAsia="zh-CN"/>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宋体" w:hAnsi="宋体" w:cs="黑体"/>
          <w:szCs w:val="21"/>
          <w:lang w:val="en-US" w:eastAsia="zh-CN"/>
        </w:rPr>
        <w:t>LBQC开关轴外径尺寸检验</w:t>
      </w:r>
      <w:r>
        <w:rPr>
          <w:rFonts w:hint="eastAsia" w:ascii="宋体" w:hAnsi="宋体" w:cs="黑体"/>
          <w:szCs w:val="21"/>
          <w:lang w:val="en-US" w:eastAsia="zh-CN"/>
        </w:rPr>
        <w:t>、</w:t>
      </w:r>
      <w:r>
        <w:rPr>
          <w:rFonts w:hint="eastAsia" w:ascii="宋体" w:hAnsi="宋体" w:cs="宋体"/>
          <w:kern w:val="0"/>
          <w:szCs w:val="21"/>
          <w:lang w:val="en-US" w:eastAsia="zh-CN"/>
        </w:rPr>
        <w:t>防爆磁力启动器的，喷塑温度测量，防爆面宽度，静态水压试验等</w:t>
      </w:r>
      <w:r>
        <w:rPr>
          <w:rFonts w:hint="eastAsia" w:ascii="宋体" w:hAnsi="宋体" w:cs="黑体"/>
          <w:bCs/>
          <w:szCs w:val="21"/>
          <w:lang w:val="en-US" w:eastAsia="zh-CN"/>
        </w:rPr>
        <w:t>测量过程</w:t>
      </w:r>
      <w:r>
        <w:rPr>
          <w:rFonts w:hint="eastAsia" w:ascii="宋体" w:hAnsi="宋体" w:cs="黑体"/>
          <w:szCs w:val="21"/>
          <w:lang w:val="en-US" w:eastAsia="zh-CN"/>
        </w:rPr>
        <w:t>18</w:t>
      </w:r>
      <w:r>
        <w:rPr>
          <w:rFonts w:hint="eastAsia" w:ascii="宋体" w:hAnsi="宋体" w:cs="宋体"/>
          <w:bCs/>
          <w:kern w:val="0"/>
          <w:szCs w:val="21"/>
        </w:rPr>
        <w:t>个测量过程</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ascii="宋体" w:hAnsi="宋体" w:cs="黑体"/>
          <w:szCs w:val="21"/>
          <w:lang w:val="en-US" w:eastAsia="zh-CN"/>
        </w:rPr>
        <w:t>LBQC开关轴外径尺寸检验</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70</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ascii="宋体" w:hAnsi="宋体" w:cs="黑体"/>
          <w:szCs w:val="21"/>
          <w:lang w:val="en-US" w:eastAsia="zh-CN"/>
        </w:rPr>
        <w:t>LBQC开关轴外径尺寸检验</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ascii="宋体" w:hAnsi="宋体" w:cs="黑体"/>
          <w:szCs w:val="21"/>
          <w:lang w:val="en-US" w:eastAsia="zh-CN"/>
        </w:rPr>
        <w:t>LBQC开关轴外径尺寸</w:t>
      </w:r>
      <w:r>
        <w:rPr>
          <w:rFonts w:hint="eastAsia" w:ascii="宋体" w:hAnsi="宋体" w:cs="宋体"/>
          <w:kern w:val="0"/>
          <w:szCs w:val="21"/>
          <w:shd w:val="clear" w:color="auto" w:fill="auto"/>
        </w:rPr>
        <w:t>检验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ascii="宋体" w:hAnsi="宋体" w:cs="黑体"/>
          <w:szCs w:val="21"/>
          <w:lang w:val="en-US" w:eastAsia="zh-CN"/>
        </w:rPr>
        <w:t>LBQC开关轴外径尺寸</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highlight w:val="none"/>
        </w:rPr>
      </w:pPr>
      <w:r>
        <w:rPr>
          <w:rFonts w:ascii="Times New Roman" w:hAnsi="Times New Roman" w:cs="Times New Roman"/>
          <w:bCs/>
          <w:kern w:val="0"/>
          <w:sz w:val="21"/>
          <w:szCs w:val="21"/>
        </w:rPr>
        <w:t>4.5、查《</w:t>
      </w:r>
      <w:r>
        <w:rPr>
          <w:rFonts w:ascii="宋体" w:hAnsi="宋体" w:cs="黑体"/>
          <w:szCs w:val="21"/>
          <w:lang w:val="en-US" w:eastAsia="zh-CN"/>
        </w:rPr>
        <w:t>LBQC开关轴外径尺寸</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w:t>
      </w:r>
      <w:r>
        <w:rPr>
          <w:rFonts w:ascii="Times New Roman" w:hAnsi="Times New Roman" w:cs="Times New Roman"/>
          <w:bCs/>
          <w:kern w:val="0"/>
          <w:szCs w:val="21"/>
          <w:highlight w:val="none"/>
        </w:rPr>
        <w:t>确。</w:t>
      </w:r>
    </w:p>
    <w:p>
      <w:pPr>
        <w:widowControl/>
        <w:spacing w:line="360" w:lineRule="auto"/>
        <w:rPr>
          <w:rFonts w:hint="eastAsia" w:ascii="Times New Roman" w:hAnsi="Times New Roman" w:cs="Times New Roman" w:eastAsiaTheme="minorEastAsia"/>
          <w:bCs/>
          <w:color w:val="auto"/>
          <w:kern w:val="0"/>
          <w:szCs w:val="21"/>
          <w:lang w:val="en-US" w:eastAsia="zh-CN"/>
        </w:rPr>
      </w:pPr>
      <w:r>
        <w:rPr>
          <w:rFonts w:ascii="Times New Roman" w:hAnsi="Times New Roman" w:cs="Times New Roman"/>
          <w:bCs/>
          <w:kern w:val="0"/>
          <w:sz w:val="21"/>
          <w:szCs w:val="21"/>
          <w:highlight w:val="none"/>
        </w:rPr>
        <w:t>4.</w:t>
      </w:r>
      <w:r>
        <w:rPr>
          <w:rFonts w:hint="eastAsia" w:ascii="Times New Roman" w:hAnsi="Times New Roman" w:cs="Times New Roman"/>
          <w:bCs/>
          <w:kern w:val="0"/>
          <w:sz w:val="21"/>
          <w:szCs w:val="21"/>
          <w:highlight w:val="none"/>
          <w:lang w:val="en-US" w:eastAsia="zh-CN"/>
        </w:rPr>
        <w:t>6</w:t>
      </w:r>
      <w:r>
        <w:rPr>
          <w:rFonts w:hint="eastAsia" w:cs="宋体" w:asciiTheme="minorEastAsia" w:hAnsiTheme="minorEastAsia"/>
          <w:color w:val="auto"/>
          <w:kern w:val="0"/>
          <w:szCs w:val="21"/>
          <w:highlight w:val="none"/>
        </w:rPr>
        <w:t>测量设备的溯源：</w:t>
      </w:r>
      <w:r>
        <w:rPr>
          <w:rFonts w:hint="eastAsia" w:cs="宋体" w:asciiTheme="minorEastAsia" w:hAnsiTheme="minorEastAsia"/>
          <w:color w:val="auto"/>
          <w:kern w:val="0"/>
          <w:szCs w:val="21"/>
          <w:highlight w:val="none"/>
          <w:lang w:eastAsia="zh-CN"/>
        </w:rPr>
        <w:t>企</w:t>
      </w:r>
      <w:r>
        <w:rPr>
          <w:rFonts w:hint="eastAsia" w:cs="宋体" w:asciiTheme="minorEastAsia" w:hAnsiTheme="minorEastAsia"/>
          <w:color w:val="auto"/>
          <w:kern w:val="0"/>
          <w:szCs w:val="21"/>
          <w:lang w:eastAsia="zh-CN"/>
        </w:rPr>
        <w:t>业未</w:t>
      </w:r>
      <w:r>
        <w:rPr>
          <w:rFonts w:hint="eastAsia" w:ascii="宋体" w:hAnsi="宋体" w:eastAsia="宋体"/>
          <w:bCs/>
          <w:color w:val="auto"/>
          <w:szCs w:val="21"/>
        </w:rPr>
        <w:t>建立最高标准，企业测量设备除自检</w:t>
      </w:r>
      <w:r>
        <w:rPr>
          <w:rFonts w:hint="eastAsia" w:ascii="宋体" w:hAnsi="宋体" w:eastAsia="宋体"/>
          <w:bCs/>
          <w:color w:val="auto"/>
          <w:sz w:val="21"/>
          <w:szCs w:val="21"/>
        </w:rPr>
        <w:t>外送</w:t>
      </w:r>
      <w:r>
        <w:rPr>
          <w:rFonts w:hint="eastAsia"/>
          <w:sz w:val="21"/>
          <w:szCs w:val="21"/>
        </w:rPr>
        <w:t>辽宁东测检测技术有限公司</w:t>
      </w:r>
      <w:r>
        <w:rPr>
          <w:rFonts w:hint="eastAsia" w:cs="Tahoma"/>
          <w:color w:val="auto"/>
          <w:sz w:val="21"/>
          <w:szCs w:val="21"/>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L4131；沈阳计量测试院，</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L0147</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11份校准证书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cs="宋体"/>
          <w:kern w:val="0"/>
          <w:szCs w:val="21"/>
        </w:rPr>
        <w:t xml:space="preserve"> </w:t>
      </w:r>
      <w:r>
        <w:rPr>
          <w:rFonts w:hint="eastAsia" w:ascii="宋体" w:hAnsi="宋体"/>
          <w:bCs/>
          <w:color w:val="auto"/>
          <w:szCs w:val="21"/>
        </w:rPr>
        <w:t>查质检部编号CLYZ-02水压试验测量过程验证记录，公司编号为</w:t>
      </w:r>
      <w:r>
        <w:rPr>
          <w:color w:val="auto"/>
        </w:rPr>
        <w:t xml:space="preserve"> </w:t>
      </w:r>
      <w:r>
        <w:rPr>
          <w:rFonts w:ascii="宋体" w:hAnsi="宋体"/>
          <w:bCs/>
          <w:color w:val="auto"/>
          <w:szCs w:val="21"/>
        </w:rPr>
        <w:t>ZXFB.JY10</w:t>
      </w:r>
      <w:r>
        <w:rPr>
          <w:rFonts w:hint="eastAsia" w:ascii="宋体" w:hAnsi="宋体"/>
          <w:bCs/>
          <w:color w:val="auto"/>
          <w:szCs w:val="21"/>
        </w:rPr>
        <w:t>静态(水压)试验方法规定，ⅡC产品水试验压力</w:t>
      </w:r>
      <w:r>
        <w:rPr>
          <w:rFonts w:ascii="Bookman Old Style" w:hAnsi="Bookman Old Style"/>
          <w:bCs/>
          <w:color w:val="auto"/>
          <w:szCs w:val="21"/>
        </w:rPr>
        <w:t>≥</w:t>
      </w:r>
      <w:r>
        <w:rPr>
          <w:rFonts w:hint="eastAsia" w:ascii="宋体" w:hAnsi="宋体"/>
          <w:bCs/>
          <w:color w:val="auto"/>
          <w:szCs w:val="21"/>
        </w:rPr>
        <w:t>2</w:t>
      </w:r>
      <w:r>
        <w:rPr>
          <w:rFonts w:ascii="宋体" w:hAnsi="宋体"/>
          <w:bCs/>
          <w:color w:val="auto"/>
          <w:szCs w:val="21"/>
        </w:rPr>
        <w:t>.0</w:t>
      </w:r>
      <w:r>
        <w:rPr>
          <w:rFonts w:hint="eastAsia" w:ascii="宋体" w:hAnsi="宋体"/>
          <w:bCs/>
          <w:color w:val="auto"/>
          <w:szCs w:val="21"/>
        </w:rPr>
        <w:t>MP</w:t>
      </w:r>
      <w:r>
        <w:rPr>
          <w:rFonts w:ascii="宋体" w:hAnsi="宋体"/>
          <w:bCs/>
          <w:color w:val="auto"/>
          <w:szCs w:val="21"/>
        </w:rPr>
        <w:t>a</w:t>
      </w:r>
      <w:r>
        <w:rPr>
          <w:rFonts w:hint="eastAsia" w:ascii="宋体" w:hAnsi="宋体"/>
          <w:bCs/>
          <w:color w:val="auto"/>
          <w:szCs w:val="21"/>
        </w:rPr>
        <w:t>,企业选用编号为1</w:t>
      </w:r>
      <w:r>
        <w:rPr>
          <w:rFonts w:ascii="宋体" w:hAnsi="宋体"/>
          <w:bCs/>
          <w:color w:val="auto"/>
          <w:szCs w:val="21"/>
        </w:rPr>
        <w:t>5.10.336</w:t>
      </w:r>
      <w:r>
        <w:rPr>
          <w:rFonts w:hint="eastAsia" w:ascii="宋体" w:hAnsi="宋体"/>
          <w:bCs/>
          <w:color w:val="auto"/>
          <w:szCs w:val="21"/>
        </w:rPr>
        <w:t>，量程（0-</w:t>
      </w:r>
      <w:r>
        <w:rPr>
          <w:rFonts w:ascii="宋体" w:hAnsi="宋体"/>
          <w:bCs/>
          <w:color w:val="auto"/>
          <w:szCs w:val="21"/>
        </w:rPr>
        <w:t>4.0</w:t>
      </w:r>
      <w:r>
        <w:rPr>
          <w:rFonts w:hint="eastAsia" w:ascii="宋体" w:hAnsi="宋体"/>
          <w:bCs/>
          <w:color w:val="auto"/>
          <w:szCs w:val="21"/>
        </w:rPr>
        <w:t>）MP</w:t>
      </w:r>
      <w:r>
        <w:rPr>
          <w:rFonts w:ascii="宋体" w:hAnsi="宋体"/>
          <w:bCs/>
          <w:color w:val="auto"/>
          <w:szCs w:val="21"/>
        </w:rPr>
        <w:t>a</w:t>
      </w:r>
      <w:r>
        <w:rPr>
          <w:rFonts w:hint="eastAsia" w:ascii="宋体" w:hAnsi="宋体"/>
          <w:bCs/>
          <w:color w:val="auto"/>
          <w:szCs w:val="21"/>
        </w:rPr>
        <w:t>满足要求.验证记录却是选用（0-</w:t>
      </w:r>
      <w:r>
        <w:rPr>
          <w:rFonts w:ascii="宋体" w:hAnsi="宋体"/>
          <w:bCs/>
          <w:color w:val="auto"/>
          <w:szCs w:val="21"/>
        </w:rPr>
        <w:t>2.5</w:t>
      </w:r>
      <w:r>
        <w:rPr>
          <w:rFonts w:hint="eastAsia" w:ascii="宋体" w:hAnsi="宋体"/>
          <w:bCs/>
          <w:color w:val="auto"/>
          <w:szCs w:val="21"/>
        </w:rPr>
        <w:t>）MPa压力表。不满足标准GB/T</w:t>
      </w:r>
      <w:r>
        <w:rPr>
          <w:rFonts w:ascii="宋体" w:hAnsi="宋体"/>
          <w:bCs/>
          <w:color w:val="auto"/>
          <w:szCs w:val="21"/>
        </w:rPr>
        <w:t xml:space="preserve"> </w:t>
      </w:r>
      <w:r>
        <w:rPr>
          <w:rFonts w:hint="eastAsia" w:ascii="宋体" w:hAnsi="宋体"/>
          <w:bCs/>
          <w:color w:val="auto"/>
          <w:szCs w:val="21"/>
        </w:rPr>
        <w:t>19022-2003条款7.1.</w:t>
      </w:r>
      <w:r>
        <w:rPr>
          <w:rFonts w:hint="eastAsia" w:ascii="宋体" w:hAnsi="宋体"/>
          <w:bCs/>
          <w:color w:val="auto"/>
          <w:szCs w:val="21"/>
          <w:lang w:val="en-US" w:eastAsia="zh-CN"/>
        </w:rPr>
        <w:t>4</w:t>
      </w:r>
      <w:r>
        <w:rPr>
          <w:rFonts w:hint="eastAsia" w:ascii="宋体" w:hAnsi="宋体"/>
          <w:bCs/>
          <w:color w:val="auto"/>
          <w:szCs w:val="21"/>
        </w:rPr>
        <w:t>计量确认</w:t>
      </w:r>
      <w:r>
        <w:rPr>
          <w:rFonts w:hint="eastAsia" w:ascii="宋体" w:hAnsi="宋体"/>
          <w:bCs/>
          <w:color w:val="auto"/>
          <w:szCs w:val="21"/>
          <w:lang w:eastAsia="zh-CN"/>
        </w:rPr>
        <w:t>过程记录</w:t>
      </w:r>
      <w:r>
        <w:rPr>
          <w:rFonts w:hint="eastAsia" w:ascii="宋体" w:hAnsi="宋体"/>
          <w:bCs/>
          <w:color w:val="auto"/>
          <w:szCs w:val="21"/>
        </w:rPr>
        <w:t>的要求</w:t>
      </w:r>
      <w:r>
        <w:rPr>
          <w:rFonts w:hint="eastAsia" w:ascii="宋体" w:hAnsi="宋体"/>
          <w:szCs w:val="21"/>
          <w:u w:val="none"/>
          <w:lang w:val="en-US"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项，质量目标与计量方针一致。202</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年度质量目标已分解。抽查企业</w:t>
      </w:r>
      <w:r>
        <w:rPr>
          <w:rFonts w:hint="eastAsia" w:cs="宋体" w:asciiTheme="minorEastAsia" w:hAnsiTheme="minorEastAsia"/>
          <w:bCs/>
          <w:kern w:val="0"/>
          <w:szCs w:val="21"/>
          <w:lang w:val="en-US" w:eastAsia="zh-CN"/>
        </w:rPr>
        <w:t>5-12月和2022年1月，6</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营业执照无变更，</w:t>
      </w:r>
      <w:r>
        <w:rPr>
          <w:rFonts w:hint="eastAsia" w:ascii="宋体" w:hAnsi="宋体" w:cs="宋体"/>
          <w:b w:val="0"/>
          <w:bCs/>
          <w:kern w:val="0"/>
          <w:szCs w:val="21"/>
          <w:highlight w:val="none"/>
          <w:lang w:val="en-US" w:eastAsia="zh-CN"/>
        </w:rPr>
        <w:t>认证范围、</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firstLine="420" w:firstLine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rPr>
        <w:t>企业用于</w:t>
      </w:r>
      <w:r>
        <w:rPr>
          <w:rFonts w:hint="eastAsia" w:ascii="宋体" w:hAnsi="宋体" w:cs="宋体"/>
          <w:bCs/>
          <w:kern w:val="0"/>
          <w:szCs w:val="21"/>
          <w:lang w:eastAsia="zh-CN"/>
        </w:rPr>
        <w:t>中国石油、中国石化、中海油</w:t>
      </w:r>
      <w:r>
        <w:rPr>
          <w:rFonts w:hint="eastAsia" w:ascii="宋体" w:hAnsi="宋体" w:cs="宋体"/>
          <w:bCs/>
          <w:kern w:val="0"/>
          <w:szCs w:val="21"/>
        </w:rPr>
        <w:t>标招投加分</w:t>
      </w:r>
      <w:r>
        <w:rPr>
          <w:rFonts w:hint="eastAsia" w:ascii="宋体" w:hAnsi="宋体" w:cs="宋体"/>
          <w:bCs/>
          <w:kern w:val="0"/>
          <w:szCs w:val="21"/>
          <w:lang w:eastAsia="zh-CN"/>
        </w:rPr>
        <w:t>等单位。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Cs/>
          <w:kern w:val="0"/>
          <w:szCs w:val="21"/>
        </w:rPr>
      </w:pP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bCs/>
          <w:szCs w:val="21"/>
        </w:rPr>
        <w:t>生产部（锅炉房）新配置的编号为120101的气体探测器 ，2021年11月15日</w:t>
      </w:r>
      <w:r>
        <w:rPr>
          <w:rFonts w:hint="eastAsia" w:ascii="宋体" w:hAnsi="宋体"/>
          <w:bCs/>
          <w:szCs w:val="21"/>
          <w:lang w:eastAsia="zh-CN"/>
        </w:rPr>
        <w:t>校准</w:t>
      </w:r>
      <w:r>
        <w:rPr>
          <w:rFonts w:hint="eastAsia" w:ascii="宋体" w:hAnsi="宋体"/>
          <w:bCs/>
          <w:szCs w:val="21"/>
        </w:rPr>
        <w:t>， 但没</w:t>
      </w:r>
      <w:r>
        <w:rPr>
          <w:rFonts w:hint="eastAsia" w:ascii="宋体" w:hAnsi="宋体"/>
          <w:bCs/>
          <w:szCs w:val="21"/>
          <w:lang w:eastAsia="zh-CN"/>
        </w:rPr>
        <w:t>有进行计量验证直接安装使用</w:t>
      </w:r>
      <w:r>
        <w:rPr>
          <w:rFonts w:hint="eastAsia" w:ascii="宋体" w:hAnsi="宋体" w:eastAsia="宋体" w:cs="宋体"/>
          <w:kern w:val="0"/>
          <w:sz w:val="21"/>
          <w:szCs w:val="21"/>
          <w:lang w:eastAsia="zh-CN"/>
        </w:rPr>
        <w:t>。</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7.1.1条款总则</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32.89</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2块，</w:t>
      </w:r>
      <w:r>
        <w:rPr>
          <w:rFonts w:hint="eastAsia" w:ascii="宋体" w:hAnsi="宋体"/>
          <w:b w:val="0"/>
          <w:bCs/>
          <w:szCs w:val="21"/>
          <w:highlight w:val="none"/>
          <w:lang w:val="en-US" w:eastAsia="zh-CN"/>
        </w:rPr>
        <w:t>2.5</w:t>
      </w:r>
      <w:r>
        <w:rPr>
          <w:rFonts w:hint="eastAsia"/>
          <w:b w:val="0"/>
          <w:bCs/>
          <w:szCs w:val="21"/>
          <w:highlight w:val="none"/>
        </w:rPr>
        <w:t>级</w:t>
      </w:r>
      <w:r>
        <w:rPr>
          <w:rFonts w:hint="eastAsia"/>
          <w:b w:val="0"/>
          <w:bCs/>
          <w:szCs w:val="21"/>
          <w:highlight w:val="none"/>
          <w:lang w:eastAsia="zh-CN"/>
        </w:rPr>
        <w:t>水表</w:t>
      </w:r>
      <w:r>
        <w:rPr>
          <w:rFonts w:hint="eastAsia"/>
          <w:b w:val="0"/>
          <w:bCs/>
          <w:szCs w:val="21"/>
          <w:highlight w:val="none"/>
          <w:lang w:val="en-US" w:eastAsia="zh-CN"/>
        </w:rPr>
        <w:t>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02</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23日</w:t>
      </w:r>
      <w:r>
        <w:rPr>
          <w:rFonts w:hint="eastAsia" w:ascii="宋体" w:hAnsi="宋体" w:cs="宋体"/>
          <w:bCs/>
          <w:color w:val="auto"/>
          <w:kern w:val="0"/>
          <w:szCs w:val="21"/>
        </w:rPr>
        <w:t>，对</w:t>
      </w:r>
      <w:r>
        <w:rPr>
          <w:rFonts w:hint="eastAsia" w:ascii="宋体" w:hAnsi="宋体"/>
          <w:color w:val="auto"/>
          <w:szCs w:val="21"/>
          <w:lang w:eastAsia="zh-CN"/>
        </w:rPr>
        <w:t>沈阳市中兴防爆电器总厂有限公司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沈阳市中兴防爆电器总厂有限公司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2022.02.23</w:t>
      </w:r>
    </w:p>
    <w:p>
      <w:pPr>
        <w:widowControl/>
        <w:spacing w:line="360" w:lineRule="auto"/>
        <w:rPr>
          <w:rFonts w:hint="eastAsia" w:ascii="宋体" w:hAnsi="宋体" w:cs="宋体"/>
          <w:b/>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rPr>
          <w:rFonts w:hint="eastAsia" w:eastAsia="宋体"/>
          <w:b/>
          <w:bCs/>
          <w:color w:val="000000"/>
          <w:szCs w:val="21"/>
          <w:lang w:eastAsia="zh-CN"/>
        </w:rPr>
        <w:drawing>
          <wp:inline distT="0" distB="0" distL="114300" distR="114300">
            <wp:extent cx="569595" cy="367665"/>
            <wp:effectExtent l="0" t="0" r="1905" b="13335"/>
            <wp:docPr id="4" name="图片 1" descr="武秀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武秀云"/>
                    <pic:cNvPicPr>
                      <a:picLocks noChangeAspect="1"/>
                    </pic:cNvPicPr>
                  </pic:nvPicPr>
                  <pic:blipFill>
                    <a:blip r:embed="rId7"/>
                    <a:stretch>
                      <a:fillRect/>
                    </a:stretch>
                  </pic:blipFill>
                  <pic:spPr>
                    <a:xfrm>
                      <a:off x="0" y="0"/>
                      <a:ext cx="569595" cy="367665"/>
                    </a:xfrm>
                    <a:prstGeom prst="rect">
                      <a:avLst/>
                    </a:prstGeom>
                    <a:noFill/>
                    <a:ln>
                      <a:noFill/>
                    </a:ln>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2022.02.23</w:t>
      </w:r>
    </w:p>
    <w:p>
      <w:pPr>
        <w:widowControl/>
        <w:spacing w:line="360" w:lineRule="auto"/>
        <w:rPr>
          <w:rFonts w:hint="eastAsia" w:ascii="宋体" w:hAnsi="宋体" w:cs="宋体"/>
          <w:b/>
          <w:bCs/>
          <w:kern w:val="0"/>
          <w:szCs w:val="21"/>
        </w:rPr>
      </w:pP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73CFB"/>
    <w:rsid w:val="006947B5"/>
    <w:rsid w:val="00D62FE0"/>
    <w:rsid w:val="00DB47DA"/>
    <w:rsid w:val="011662FE"/>
    <w:rsid w:val="019126B1"/>
    <w:rsid w:val="03B215BD"/>
    <w:rsid w:val="03E563DD"/>
    <w:rsid w:val="049D6929"/>
    <w:rsid w:val="05FD5174"/>
    <w:rsid w:val="07A22038"/>
    <w:rsid w:val="07F6331D"/>
    <w:rsid w:val="081433FF"/>
    <w:rsid w:val="0866484A"/>
    <w:rsid w:val="08AF38B7"/>
    <w:rsid w:val="08C9577B"/>
    <w:rsid w:val="09851FB9"/>
    <w:rsid w:val="0CC1767E"/>
    <w:rsid w:val="0DE1402D"/>
    <w:rsid w:val="0E594764"/>
    <w:rsid w:val="0E5F6936"/>
    <w:rsid w:val="1051458B"/>
    <w:rsid w:val="10FC7F7C"/>
    <w:rsid w:val="11261FFC"/>
    <w:rsid w:val="12730AAA"/>
    <w:rsid w:val="145913C3"/>
    <w:rsid w:val="16010527"/>
    <w:rsid w:val="165F436C"/>
    <w:rsid w:val="18314892"/>
    <w:rsid w:val="18895737"/>
    <w:rsid w:val="1ACA15A5"/>
    <w:rsid w:val="1B701893"/>
    <w:rsid w:val="1D644926"/>
    <w:rsid w:val="1E0679E2"/>
    <w:rsid w:val="1E507DB8"/>
    <w:rsid w:val="1F30615A"/>
    <w:rsid w:val="1FB73513"/>
    <w:rsid w:val="20245D89"/>
    <w:rsid w:val="21C517C9"/>
    <w:rsid w:val="2253747B"/>
    <w:rsid w:val="228F589D"/>
    <w:rsid w:val="238D590A"/>
    <w:rsid w:val="23A02834"/>
    <w:rsid w:val="23E3439E"/>
    <w:rsid w:val="24FE70A9"/>
    <w:rsid w:val="259C7022"/>
    <w:rsid w:val="25FE255B"/>
    <w:rsid w:val="27816C16"/>
    <w:rsid w:val="27954974"/>
    <w:rsid w:val="299E6A98"/>
    <w:rsid w:val="2B030917"/>
    <w:rsid w:val="2C4F0E75"/>
    <w:rsid w:val="2E0B23F6"/>
    <w:rsid w:val="2E42048A"/>
    <w:rsid w:val="2E9535C2"/>
    <w:rsid w:val="2F3769D8"/>
    <w:rsid w:val="2F98679A"/>
    <w:rsid w:val="2FD947E2"/>
    <w:rsid w:val="313D2294"/>
    <w:rsid w:val="31647056"/>
    <w:rsid w:val="321A44F5"/>
    <w:rsid w:val="328D7A02"/>
    <w:rsid w:val="32A1519D"/>
    <w:rsid w:val="33E861D3"/>
    <w:rsid w:val="356A4FB1"/>
    <w:rsid w:val="363F5E2D"/>
    <w:rsid w:val="36BD22BD"/>
    <w:rsid w:val="38086043"/>
    <w:rsid w:val="382A5B08"/>
    <w:rsid w:val="3868400B"/>
    <w:rsid w:val="38880CD0"/>
    <w:rsid w:val="39571FC5"/>
    <w:rsid w:val="39EA584B"/>
    <w:rsid w:val="3AA660B4"/>
    <w:rsid w:val="3B061D57"/>
    <w:rsid w:val="3BAF7989"/>
    <w:rsid w:val="3F903830"/>
    <w:rsid w:val="408706D3"/>
    <w:rsid w:val="40A07680"/>
    <w:rsid w:val="44C42B5F"/>
    <w:rsid w:val="46184AD1"/>
    <w:rsid w:val="46771B56"/>
    <w:rsid w:val="49F92A91"/>
    <w:rsid w:val="4A126716"/>
    <w:rsid w:val="4ABD7835"/>
    <w:rsid w:val="4B0712FD"/>
    <w:rsid w:val="4BD16FB0"/>
    <w:rsid w:val="4EC027DE"/>
    <w:rsid w:val="4F822A24"/>
    <w:rsid w:val="505F1232"/>
    <w:rsid w:val="50FA73B2"/>
    <w:rsid w:val="5133471D"/>
    <w:rsid w:val="52977792"/>
    <w:rsid w:val="52D06ACC"/>
    <w:rsid w:val="533D0BB1"/>
    <w:rsid w:val="53E204EF"/>
    <w:rsid w:val="53FD699A"/>
    <w:rsid w:val="548C10AE"/>
    <w:rsid w:val="553819D4"/>
    <w:rsid w:val="55846126"/>
    <w:rsid w:val="56A52AE7"/>
    <w:rsid w:val="56AF49FF"/>
    <w:rsid w:val="57961E25"/>
    <w:rsid w:val="57EE0A87"/>
    <w:rsid w:val="583773EE"/>
    <w:rsid w:val="589A1673"/>
    <w:rsid w:val="58FA7A57"/>
    <w:rsid w:val="5ACA30F8"/>
    <w:rsid w:val="5AD7341B"/>
    <w:rsid w:val="5B4471AA"/>
    <w:rsid w:val="5B625EC1"/>
    <w:rsid w:val="5BED2E50"/>
    <w:rsid w:val="5CC34A42"/>
    <w:rsid w:val="5D6E5D7B"/>
    <w:rsid w:val="5D8B40D4"/>
    <w:rsid w:val="5E541A14"/>
    <w:rsid w:val="5FEB3DF1"/>
    <w:rsid w:val="60A1694D"/>
    <w:rsid w:val="60AB0032"/>
    <w:rsid w:val="60EE17B6"/>
    <w:rsid w:val="60FF6850"/>
    <w:rsid w:val="612E2E61"/>
    <w:rsid w:val="61880FEB"/>
    <w:rsid w:val="618D05CE"/>
    <w:rsid w:val="63243021"/>
    <w:rsid w:val="63244996"/>
    <w:rsid w:val="64815E69"/>
    <w:rsid w:val="64882719"/>
    <w:rsid w:val="653A413B"/>
    <w:rsid w:val="65B354C1"/>
    <w:rsid w:val="66B707C5"/>
    <w:rsid w:val="66C76995"/>
    <w:rsid w:val="66DA4EE7"/>
    <w:rsid w:val="678058D7"/>
    <w:rsid w:val="69443018"/>
    <w:rsid w:val="695375A4"/>
    <w:rsid w:val="69DD4616"/>
    <w:rsid w:val="6A756F3B"/>
    <w:rsid w:val="6BC61023"/>
    <w:rsid w:val="6DB43658"/>
    <w:rsid w:val="6E4A2C41"/>
    <w:rsid w:val="6F03617D"/>
    <w:rsid w:val="6F843906"/>
    <w:rsid w:val="6FCB3BEE"/>
    <w:rsid w:val="70F168D6"/>
    <w:rsid w:val="716D6BC3"/>
    <w:rsid w:val="71A75E13"/>
    <w:rsid w:val="72FF0D20"/>
    <w:rsid w:val="741178B5"/>
    <w:rsid w:val="756C46F1"/>
    <w:rsid w:val="75C30245"/>
    <w:rsid w:val="778E4681"/>
    <w:rsid w:val="79880B95"/>
    <w:rsid w:val="7BC7517F"/>
    <w:rsid w:val="7BE74319"/>
    <w:rsid w:val="7E0A279A"/>
    <w:rsid w:val="7F383F79"/>
    <w:rsid w:val="7F48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2022-02-24T03:31:47Z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26855577654D4779AED556AE7C30A6C9</vt:lpwstr>
  </property>
</Properties>
</file>