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0084-2022-QH</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河北帝鉴食品有限公司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H:,Q:</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911309835982503294</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sym w:font="Wingdings 2" w:char="00A3"/>
            </w:r>
            <w:r>
              <w:rPr>
                <w:rFonts w:hint="eastAsia"/>
                <w:sz w:val="22"/>
                <w:szCs w:val="22"/>
              </w:rPr>
              <w:t xml:space="preserve"> 带标  </w:t>
            </w:r>
            <w:r>
              <w:rPr/>
              <w:sym w:font="Wingdings 2" w:char="0052"/>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r>
              <w:rPr>
                <w:rFonts w:hint="eastAsia"/>
                <w:sz w:val="22"/>
                <w:szCs w:val="22"/>
              </w:rPr>
              <w:sym w:font="Wingdings 2" w:char="00A3"/>
            </w:r>
            <w:r>
              <w:rPr>
                <w:rFonts w:hint="eastAsia"/>
                <w:sz w:val="22"/>
                <w:szCs w:val="22"/>
              </w:rPr>
              <w:t xml:space="preserve"> GB/T 50430-2017 (不适用：  条款)；</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p>
            <w:pPr>
              <w:snapToGrid w:val="0"/>
              <w:spacing w:line="0" w:lineRule="atLeast"/>
              <w:jc w:val="left"/>
              <w:rPr>
                <w:sz w:val="22"/>
                <w:szCs w:val="22"/>
              </w:rPr>
            </w:pPr>
            <w:bookmarkStart w:id="8" w:name="EnMS勾选"/>
            <w:r>
              <w:rPr>
                <w:rFonts w:hint="eastAsia"/>
                <w:sz w:val="22"/>
                <w:szCs w:val="22"/>
              </w:rPr>
              <w:t>□</w:t>
            </w:r>
            <w:bookmarkEnd w:id="8"/>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w:t>
            </w:r>
            <w:r>
              <w:rPr>
                <w:rFonts w:hint="eastAsia"/>
                <w:sz w:val="22"/>
                <w:szCs w:val="22"/>
                <w:lang w:val="en-US" w:eastAsia="zh-CN"/>
              </w:rPr>
              <w:t>:</w:t>
            </w:r>
            <w:r>
              <w:rPr>
                <w:rFonts w:hint="eastAsia"/>
                <w:sz w:val="22"/>
                <w:szCs w:val="22"/>
              </w:rPr>
              <w:t>2018</w:t>
            </w:r>
          </w:p>
          <w:p>
            <w:pPr>
              <w:snapToGrid w:val="0"/>
              <w:spacing w:line="0" w:lineRule="atLeast"/>
              <w:jc w:val="left"/>
              <w:rPr>
                <w:rFonts w:hint="eastAsia" w:eastAsia="宋体"/>
                <w:sz w:val="22"/>
                <w:szCs w:val="22"/>
                <w:lang w:val="en-US" w:eastAsia="zh-CN"/>
              </w:rPr>
            </w:pPr>
            <w:bookmarkStart w:id="10" w:name="H勾选"/>
            <w:r>
              <w:rPr>
                <w:rFonts w:hint="eastAsia"/>
                <w:sz w:val="22"/>
                <w:szCs w:val="22"/>
              </w:rPr>
              <w:t>■</w:t>
            </w:r>
            <w:bookmarkEnd w:id="10"/>
            <w:r>
              <w:rPr>
                <w:rFonts w:hint="eastAsia"/>
                <w:sz w:val="22"/>
                <w:szCs w:val="22"/>
              </w:rPr>
              <w:t>危害分析与关键控制点（HACCP体系）认证要求</w:t>
            </w:r>
            <w:r>
              <w:rPr>
                <w:rFonts w:hint="eastAsia"/>
                <w:sz w:val="22"/>
                <w:szCs w:val="22"/>
                <w:lang w:val="en-US" w:eastAsia="zh-CN"/>
              </w:rPr>
              <w:t>(V</w:t>
            </w:r>
            <w:r>
              <w:rPr>
                <w:rFonts w:hint="eastAsia"/>
                <w:sz w:val="22"/>
                <w:szCs w:val="22"/>
              </w:rPr>
              <w:t>1.0</w:t>
            </w:r>
            <w:r>
              <w:rPr>
                <w:rFonts w:hint="eastAsia"/>
                <w:sz w:val="22"/>
                <w:szCs w:val="22"/>
                <w:lang w:val="en-US" w:eastAsia="zh-CN"/>
              </w:rPr>
              <w:t>)</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H:20,Q:20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Pr>
                <w:rFonts w:hint="eastAsia"/>
                <w:b/>
                <w:color w:val="000000" w:themeColor="text1"/>
                <w:sz w:val="22"/>
                <w:szCs w:val="22"/>
              </w:rPr>
              <w:sym w:font="Wingdings 2" w:char="0052"/>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河北帝鉴食品有限公司</w:t>
            </w:r>
            <w:bookmarkEnd w:id="16"/>
          </w:p>
        </w:tc>
        <w:tc>
          <w:tcPr>
            <w:tcW w:w="5013" w:type="dxa"/>
            <w:gridSpan w:val="4"/>
            <w:vMerge w:val="restart"/>
          </w:tcPr>
          <w:p>
            <w:pPr>
              <w:snapToGrid w:val="0"/>
              <w:spacing w:line="0" w:lineRule="atLeast"/>
              <w:jc w:val="left"/>
              <w:rPr>
                <w:sz w:val="22"/>
                <w:szCs w:val="22"/>
              </w:rPr>
            </w:pPr>
            <w:bookmarkStart w:id="17" w:name="审核范围"/>
            <w:r>
              <w:rPr>
                <w:sz w:val="22"/>
                <w:szCs w:val="22"/>
              </w:rPr>
              <w:t>H：位于河北省沧州市黄骅市滕庄子乡西胡庄工业园河北帝鉴食品有限公司生产车间的发酵面制品（面花馒头）的生产</w:t>
            </w:r>
          </w:p>
          <w:p>
            <w:pPr>
              <w:snapToGrid w:val="0"/>
              <w:spacing w:line="0" w:lineRule="atLeast"/>
              <w:jc w:val="left"/>
              <w:rPr>
                <w:sz w:val="22"/>
                <w:szCs w:val="22"/>
              </w:rPr>
            </w:pPr>
            <w:r>
              <w:rPr>
                <w:sz w:val="22"/>
                <w:szCs w:val="22"/>
              </w:rPr>
              <w:t>Q：发酵面制品（面花馒头）的生产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黄骅市滕庄子乡西胡庄工业园</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US" w:eastAsia="zh-CN"/>
              </w:rPr>
              <w:t>河北省沧州市</w:t>
            </w:r>
            <w:r>
              <w:rPr>
                <w:rFonts w:hint="eastAsia"/>
                <w:sz w:val="22"/>
                <w:szCs w:val="22"/>
                <w:lang w:val="en-GB"/>
              </w:rPr>
              <w:t>黄骅市滕庄子乡西胡庄工业园</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sz w:val="22"/>
                <w:szCs w:val="22"/>
              </w:rPr>
              <w:t>Hebei Dijian Food Co., Ltd.</w:t>
            </w:r>
          </w:p>
        </w:tc>
        <w:tc>
          <w:tcPr>
            <w:tcW w:w="1337" w:type="dxa"/>
          </w:tcPr>
          <w:p>
            <w:pPr>
              <w:snapToGrid w:val="0"/>
              <w:spacing w:line="0" w:lineRule="atLeast"/>
              <w:jc w:val="left"/>
              <w:rPr>
                <w:sz w:val="22"/>
                <w:szCs w:val="22"/>
              </w:rPr>
            </w:pPr>
            <w:r>
              <w:rPr>
                <w:rFonts w:hint="eastAsia"/>
                <w:sz w:val="22"/>
                <w:szCs w:val="22"/>
              </w:rPr>
              <w:t>QMS</w:t>
            </w:r>
          </w:p>
        </w:tc>
        <w:tc>
          <w:tcPr>
            <w:tcW w:w="3676" w:type="dxa"/>
            <w:gridSpan w:val="3"/>
          </w:tcPr>
          <w:p>
            <w:pPr>
              <w:snapToGrid w:val="0"/>
              <w:spacing w:line="360" w:lineRule="auto"/>
              <w:jc w:val="left"/>
              <w:rPr>
                <w:rFonts w:hint="eastAsia" w:eastAsia="宋体"/>
                <w:sz w:val="21"/>
                <w:szCs w:val="16"/>
                <w:lang w:eastAsia="zh-CN"/>
              </w:rPr>
            </w:pPr>
            <w:r>
              <w:rPr>
                <w:rFonts w:hint="eastAsia"/>
                <w:sz w:val="22"/>
                <w:szCs w:val="22"/>
                <w:lang w:eastAsia="zh-CN"/>
              </w:rPr>
              <w:t xml:space="preserve">Production of </w:t>
            </w:r>
            <w:r>
              <w:rPr>
                <w:rFonts w:hint="eastAsia"/>
                <w:sz w:val="22"/>
                <w:szCs w:val="22"/>
                <w:lang w:val="en-US" w:eastAsia="zh-CN"/>
              </w:rPr>
              <w:t>F</w:t>
            </w:r>
            <w:r>
              <w:rPr>
                <w:rFonts w:hint="eastAsia"/>
                <w:sz w:val="22"/>
                <w:szCs w:val="22"/>
                <w:lang w:eastAsia="zh-CN"/>
              </w:rPr>
              <w:t xml:space="preserve">ermented </w:t>
            </w:r>
            <w:r>
              <w:rPr>
                <w:rFonts w:hint="eastAsia"/>
                <w:sz w:val="22"/>
                <w:szCs w:val="22"/>
                <w:lang w:val="en-US" w:eastAsia="zh-CN"/>
              </w:rPr>
              <w:t>F</w:t>
            </w:r>
            <w:r>
              <w:rPr>
                <w:rFonts w:hint="eastAsia"/>
                <w:sz w:val="22"/>
                <w:szCs w:val="22"/>
                <w:lang w:eastAsia="zh-CN"/>
              </w:rPr>
              <w:t xml:space="preserve">lour </w:t>
            </w:r>
            <w:r>
              <w:rPr>
                <w:rFonts w:hint="eastAsia"/>
                <w:sz w:val="22"/>
                <w:szCs w:val="22"/>
                <w:lang w:val="en-US" w:eastAsia="zh-CN"/>
              </w:rPr>
              <w:t>P</w:t>
            </w:r>
            <w:r>
              <w:rPr>
                <w:rFonts w:hint="eastAsia"/>
                <w:sz w:val="22"/>
                <w:szCs w:val="22"/>
                <w:lang w:eastAsia="zh-CN"/>
              </w:rPr>
              <w:t>roducts (</w:t>
            </w:r>
            <w:r>
              <w:rPr>
                <w:rFonts w:hint="eastAsia"/>
                <w:sz w:val="22"/>
                <w:szCs w:val="22"/>
                <w:lang w:val="en-US" w:eastAsia="zh-CN"/>
              </w:rPr>
              <w:t>Mianhua S</w:t>
            </w:r>
            <w:r>
              <w:rPr>
                <w:rFonts w:hint="eastAsia"/>
                <w:sz w:val="22"/>
                <w:szCs w:val="22"/>
                <w:lang w:eastAsia="zh-CN"/>
              </w:rPr>
              <w:t xml:space="preserve">teamed </w:t>
            </w:r>
            <w:r>
              <w:rPr>
                <w:rFonts w:hint="eastAsia"/>
                <w:sz w:val="22"/>
                <w:szCs w:val="22"/>
                <w:lang w:val="en-US" w:eastAsia="zh-CN"/>
              </w:rPr>
              <w:t>B</w:t>
            </w:r>
            <w:r>
              <w:rPr>
                <w:rFonts w:hint="eastAsia"/>
                <w:sz w:val="22"/>
                <w:szCs w:val="22"/>
                <w:lang w:eastAsia="zh-CN"/>
              </w:rPr>
              <w:t>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360" w:lineRule="auto"/>
              <w:jc w:val="left"/>
              <w:rPr>
                <w:rFonts w:hint="eastAsia" w:eastAsia="宋体"/>
                <w:sz w:val="21"/>
                <w:szCs w:val="16"/>
                <w:lang w:eastAsia="zh-CN"/>
              </w:rPr>
            </w:pPr>
            <w:r>
              <w:rPr>
                <w:rFonts w:hint="eastAsia"/>
                <w:sz w:val="21"/>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sz w:val="22"/>
                <w:szCs w:val="22"/>
              </w:rPr>
              <w:t>Xihuzhuang Industrial Park, Tengzhuangzi Township, Huanghua City</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360" w:lineRule="auto"/>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360" w:lineRule="auto"/>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sz w:val="22"/>
                <w:szCs w:val="22"/>
              </w:rPr>
              <w:t>Xihuzhuang Industrial Park, Tengzhuangzi Township, Huanghua City, Cangzhou City, Hebei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360" w:lineRule="auto"/>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360" w:lineRule="auto"/>
              <w:jc w:val="left"/>
              <w:rPr>
                <w:sz w:val="22"/>
                <w:szCs w:val="22"/>
              </w:rPr>
            </w:pPr>
            <w:r>
              <w:rPr>
                <w:rFonts w:hint="eastAsia"/>
                <w:sz w:val="22"/>
                <w:szCs w:val="22"/>
                <w:lang w:eastAsia="zh-CN"/>
              </w:rPr>
              <w:t xml:space="preserve">Production of </w:t>
            </w:r>
            <w:r>
              <w:rPr>
                <w:rFonts w:hint="eastAsia"/>
                <w:sz w:val="22"/>
                <w:szCs w:val="22"/>
                <w:lang w:val="en-US" w:eastAsia="zh-CN"/>
              </w:rPr>
              <w:t>F</w:t>
            </w:r>
            <w:r>
              <w:rPr>
                <w:rFonts w:hint="eastAsia"/>
                <w:sz w:val="22"/>
                <w:szCs w:val="22"/>
                <w:lang w:eastAsia="zh-CN"/>
              </w:rPr>
              <w:t xml:space="preserve">ermented </w:t>
            </w:r>
            <w:r>
              <w:rPr>
                <w:rFonts w:hint="eastAsia"/>
                <w:sz w:val="22"/>
                <w:szCs w:val="22"/>
                <w:lang w:val="en-US" w:eastAsia="zh-CN"/>
              </w:rPr>
              <w:t>F</w:t>
            </w:r>
            <w:r>
              <w:rPr>
                <w:rFonts w:hint="eastAsia"/>
                <w:sz w:val="22"/>
                <w:szCs w:val="22"/>
                <w:lang w:eastAsia="zh-CN"/>
              </w:rPr>
              <w:t xml:space="preserve">lour </w:t>
            </w:r>
            <w:r>
              <w:rPr>
                <w:rFonts w:hint="eastAsia"/>
                <w:sz w:val="22"/>
                <w:szCs w:val="22"/>
                <w:lang w:val="en-US" w:eastAsia="zh-CN"/>
              </w:rPr>
              <w:t>P</w:t>
            </w:r>
            <w:r>
              <w:rPr>
                <w:rFonts w:hint="eastAsia"/>
                <w:sz w:val="22"/>
                <w:szCs w:val="22"/>
                <w:lang w:eastAsia="zh-CN"/>
              </w:rPr>
              <w:t>roducts (</w:t>
            </w:r>
            <w:r>
              <w:rPr>
                <w:rFonts w:hint="eastAsia"/>
                <w:sz w:val="22"/>
                <w:szCs w:val="22"/>
                <w:lang w:val="en-US" w:eastAsia="zh-CN"/>
              </w:rPr>
              <w:t>Mianhua S</w:t>
            </w:r>
            <w:r>
              <w:rPr>
                <w:rFonts w:hint="eastAsia"/>
                <w:sz w:val="22"/>
                <w:szCs w:val="22"/>
                <w:lang w:eastAsia="zh-CN"/>
              </w:rPr>
              <w:t xml:space="preserve">teamed </w:t>
            </w:r>
            <w:r>
              <w:rPr>
                <w:rFonts w:hint="eastAsia"/>
                <w:sz w:val="22"/>
                <w:szCs w:val="22"/>
                <w:lang w:val="en-US" w:eastAsia="zh-CN"/>
              </w:rPr>
              <w:t>B</w:t>
            </w:r>
            <w:r>
              <w:rPr>
                <w:rFonts w:hint="eastAsia"/>
                <w:sz w:val="22"/>
                <w:szCs w:val="22"/>
                <w:lang w:eastAsia="zh-CN"/>
              </w:rPr>
              <w:t>read)</w:t>
            </w:r>
            <w:r>
              <w:rPr>
                <w:rFonts w:hint="eastAsia"/>
                <w:sz w:val="22"/>
                <w:szCs w:val="22"/>
                <w:lang w:val="en-US" w:eastAsia="zh-CN"/>
              </w:rPr>
              <w:t xml:space="preserve"> </w:t>
            </w:r>
            <w:r>
              <w:rPr>
                <w:rFonts w:hint="eastAsia"/>
                <w:sz w:val="22"/>
                <w:szCs w:val="22"/>
              </w:rPr>
              <w:t xml:space="preserve">in the </w:t>
            </w:r>
            <w:r>
              <w:rPr>
                <w:rFonts w:hint="eastAsia"/>
                <w:sz w:val="22"/>
                <w:szCs w:val="22"/>
                <w:lang w:val="en-US" w:eastAsia="zh-CN"/>
              </w:rPr>
              <w:t>P</w:t>
            </w:r>
            <w:r>
              <w:rPr>
                <w:rFonts w:hint="eastAsia"/>
                <w:sz w:val="22"/>
                <w:szCs w:val="22"/>
              </w:rPr>
              <w:t xml:space="preserve">roduction </w:t>
            </w:r>
            <w:r>
              <w:rPr>
                <w:rFonts w:hint="eastAsia"/>
                <w:sz w:val="22"/>
                <w:szCs w:val="22"/>
                <w:lang w:val="en-US" w:eastAsia="zh-CN"/>
              </w:rPr>
              <w:t>W</w:t>
            </w:r>
            <w:r>
              <w:rPr>
                <w:rFonts w:hint="eastAsia"/>
                <w:sz w:val="22"/>
                <w:szCs w:val="22"/>
              </w:rPr>
              <w:t>orkshop of Hebei Dijian Food Co., Ltd., Xihuzhuang Industrial Park, Tengzhuangzi Township, Huanghua City, Cangzhou City, Hebei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bookmarkStart w:id="20" w:name="_GoBack"/>
            <w:bookmarkEnd w:id="20"/>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3N2UwYzRjODcyYjBmZWI4OGFkMDIyNTk1M2M5ZTMifQ=="/>
  </w:docVars>
  <w:rsids>
    <w:rsidRoot w:val="00000000"/>
    <w:rsid w:val="2350085B"/>
    <w:rsid w:val="283407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30</TotalTime>
  <ScaleCrop>false</ScaleCrop>
  <LinksUpToDate>false</LinksUpToDate>
  <CharactersWithSpaces>2588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2022-07-01T08:04:33Z</cp:lastPrinted>
  <dcterms:modified xsi:type="dcterms:W3CDTF">2022-07-01T09:18:33Z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2052-11.1.0.11830</vt:lpwstr>
  </property>
</Properties>
</file>