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0655-2019-QEO-2022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威海昌澳物业服务有限公司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威海昌澳物业服务有限公司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山东省威海市经济技术开发区海峰路-28号-1120(生产经营地:威海经区海瞳路-18号第四层)</w:t>
            </w:r>
            <w:bookmarkEnd w:id="6"/>
          </w:p>
        </w:tc>
        <w:tc>
          <w:tcPr>
            <w:tcW w:w="1242" w:type="dxa"/>
            <w:vMerge w:val="restart"/>
            <w:vAlign w:val="center"/>
          </w:tcPr>
          <w:p>
            <w:r>
              <w:rPr>
                <w:rFonts w:hint="eastAsia"/>
              </w:rPr>
              <w:t>邮编</w:t>
            </w:r>
          </w:p>
        </w:tc>
        <w:tc>
          <w:tcPr>
            <w:tcW w:w="1771" w:type="dxa"/>
          </w:tcPr>
          <w:p>
            <w:bookmarkStart w:id="7" w:name="注册邮编"/>
            <w:r>
              <w:t>264200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山东省威海市经济技术开发区海峰路-28号-1120(生产经营地:威海经区海瞳路-18号第四层)</w:t>
            </w:r>
            <w:bookmarkEnd w:id="8"/>
          </w:p>
        </w:tc>
        <w:tc>
          <w:tcPr>
            <w:tcW w:w="1242" w:type="dxa"/>
            <w:vMerge w:val="continue"/>
            <w:vAlign w:val="center"/>
          </w:tcPr>
          <w:p/>
        </w:tc>
        <w:tc>
          <w:tcPr>
            <w:tcW w:w="1771" w:type="dxa"/>
          </w:tcPr>
          <w:p>
            <w:bookmarkStart w:id="9" w:name="办公邮编"/>
            <w:r>
              <w:t>264200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姚辉光</w:t>
            </w:r>
            <w:bookmarkEnd w:id="10"/>
          </w:p>
        </w:tc>
        <w:tc>
          <w:tcPr>
            <w:tcW w:w="1313" w:type="dxa"/>
            <w:vAlign w:val="center"/>
          </w:tcPr>
          <w:p>
            <w:r>
              <w:rPr>
                <w:rFonts w:hint="eastAsia"/>
              </w:rPr>
              <w:t>电话.</w:t>
            </w:r>
          </w:p>
        </w:tc>
        <w:tc>
          <w:tcPr>
            <w:tcW w:w="2180" w:type="dxa"/>
            <w:vAlign w:val="center"/>
          </w:tcPr>
          <w:p>
            <w:bookmarkStart w:id="11" w:name="联系人电话"/>
            <w:r>
              <w:t>13792755507</w:t>
            </w:r>
            <w:bookmarkEnd w:id="11"/>
          </w:p>
        </w:tc>
        <w:tc>
          <w:tcPr>
            <w:tcW w:w="1242" w:type="dxa"/>
            <w:vAlign w:val="center"/>
          </w:tcPr>
          <w:p>
            <w:r>
              <w:rPr>
                <w:rFonts w:hint="eastAsia"/>
              </w:rPr>
              <w:t>传真</w:t>
            </w:r>
          </w:p>
        </w:tc>
        <w:tc>
          <w:tcPr>
            <w:tcW w:w="1771" w:type="dxa"/>
          </w:tcPr>
          <w:p>
            <w:bookmarkStart w:id="12" w:name="联系人传真"/>
            <w:r>
              <w:t>3099019754@qq.com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姚辉光</w:t>
            </w:r>
            <w:bookmarkEnd w:id="13"/>
          </w:p>
        </w:tc>
        <w:tc>
          <w:tcPr>
            <w:tcW w:w="1313" w:type="dxa"/>
            <w:vAlign w:val="center"/>
          </w:tcPr>
          <w:p>
            <w:r>
              <w:rPr>
                <w:rFonts w:hint="eastAsia"/>
              </w:rPr>
              <w:t>管理者代表</w:t>
            </w:r>
          </w:p>
        </w:tc>
        <w:tc>
          <w:tcPr>
            <w:tcW w:w="2180" w:type="dxa"/>
          </w:tcPr>
          <w:p>
            <w:bookmarkStart w:id="14" w:name="管理者代表"/>
            <w:r>
              <w:t>吕惠卿</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eastAsia="宋体"/>
                <w:bCs/>
                <w:lang w:eastAsia="zh-CN"/>
              </w:rPr>
            </w:pPr>
            <w:r>
              <w:rPr>
                <w:rFonts w:hint="eastAsia" w:eastAsia="宋体"/>
                <w:bCs/>
                <w:lang w:eastAsia="zh-CN"/>
              </w:rPr>
              <w:t>客户开发---项目评估---合同签订---进驻项目现场---现场管理---客户满意调查---回访</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2022年02月21日 上午至2022年02月24日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A3"/>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Q：物业管理</w:t>
            </w:r>
            <w:r>
              <w:rPr>
                <w:rFonts w:hint="eastAsia"/>
                <w:sz w:val="20"/>
              </w:rPr>
              <w:t>（办公）</w:t>
            </w:r>
          </w:p>
          <w:p>
            <w:r>
              <w:t>E：物业管理</w:t>
            </w:r>
            <w:r>
              <w:rPr>
                <w:rFonts w:hint="eastAsia"/>
                <w:sz w:val="20"/>
              </w:rPr>
              <w:t>（办公）</w:t>
            </w:r>
            <w:r>
              <w:t>及其所涉及的环境管理活动</w:t>
            </w:r>
          </w:p>
          <w:p>
            <w:r>
              <w:t>O：物业管理</w:t>
            </w:r>
            <w:r>
              <w:rPr>
                <w:rFonts w:hint="eastAsia"/>
                <w:sz w:val="20"/>
              </w:rPr>
              <w:t>（办公）</w:t>
            </w:r>
            <w:r>
              <w:t>及其所涉及的职业健康安全管理活动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Q：35.15.00</w:t>
            </w:r>
          </w:p>
          <w:p>
            <w:r>
              <w:t>E：35.15.00</w:t>
            </w:r>
          </w:p>
          <w:p>
            <w:r>
              <w:t>O：35.15.00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28-31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66"/>
        <w:gridCol w:w="11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66" w:type="dxa"/>
            <w:shd w:val="clear" w:color="auto" w:fill="F3F3F3"/>
            <w:tcMar>
              <w:left w:w="57" w:type="dxa"/>
              <w:right w:w="57" w:type="dxa"/>
            </w:tcMar>
          </w:tcPr>
          <w:p>
            <w:r>
              <w:rPr>
                <w:rFonts w:hint="eastAsia"/>
              </w:rPr>
              <w:t>审核范围（产品和过程）</w:t>
            </w:r>
          </w:p>
          <w:p/>
          <w:p/>
        </w:tc>
        <w:tc>
          <w:tcPr>
            <w:tcW w:w="11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威海昌澳物业服务有限公司</w:t>
            </w:r>
            <w:r>
              <w:rPr>
                <w:rFonts w:hint="eastAsia"/>
                <w:lang w:val="en-US" w:eastAsia="zh-CN"/>
              </w:rPr>
              <w:t>;</w:t>
            </w:r>
            <w:r>
              <w:t>生产经营地</w:t>
            </w:r>
            <w:r>
              <w:rPr>
                <w:rFonts w:hint="eastAsia"/>
                <w:lang w:val="en-US" w:eastAsia="zh-CN"/>
              </w:rPr>
              <w:t>:</w:t>
            </w:r>
            <w:r>
              <w:t>威海经区海瞳路18</w:t>
            </w:r>
            <w:r>
              <w:rPr>
                <w:rFonts w:hint="eastAsia"/>
                <w:lang w:val="en-US" w:eastAsia="zh-CN"/>
              </w:rPr>
              <w:t>-20</w:t>
            </w:r>
            <w:r>
              <w:t>号</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30</w:t>
            </w:r>
          </w:p>
        </w:tc>
        <w:tc>
          <w:tcPr>
            <w:tcW w:w="2366" w:type="dxa"/>
            <w:vAlign w:val="center"/>
          </w:tcPr>
          <w:p>
            <w:r>
              <w:t>Q：物业管理</w:t>
            </w:r>
            <w:r>
              <w:rPr>
                <w:rFonts w:hint="eastAsia"/>
                <w:sz w:val="20"/>
              </w:rPr>
              <w:t>（办公）</w:t>
            </w:r>
          </w:p>
          <w:p>
            <w:r>
              <w:t>E：物业管理</w:t>
            </w:r>
            <w:r>
              <w:rPr>
                <w:rFonts w:hint="eastAsia"/>
                <w:sz w:val="20"/>
              </w:rPr>
              <w:t>（办公）</w:t>
            </w:r>
            <w:r>
              <w:t>及其所涉及的环境管理活动</w:t>
            </w:r>
          </w:p>
          <w:p>
            <w:pPr>
              <w:rPr>
                <w:lang w:eastAsia="ja-JP"/>
              </w:rPr>
            </w:pPr>
            <w:r>
              <w:t>O：物业管理</w:t>
            </w:r>
            <w:r>
              <w:rPr>
                <w:rFonts w:hint="eastAsia"/>
                <w:sz w:val="20"/>
              </w:rPr>
              <w:t>（办公）</w:t>
            </w:r>
            <w:bookmarkStart w:id="34" w:name="_GoBack"/>
            <w:bookmarkEnd w:id="34"/>
            <w:r>
              <w:t>及其所涉及的职业健康安全管理活动</w:t>
            </w:r>
          </w:p>
        </w:tc>
        <w:tc>
          <w:tcPr>
            <w:tcW w:w="1106"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rPr>
                <w:lang w:eastAsia="ja-JP"/>
              </w:rPr>
            </w:pPr>
            <w:r>
              <w:rPr>
                <w:rFonts w:hint="eastAsia" w:ascii="Times New Roman" w:hAnsi="Times New Roman" w:eastAsia="宋体" w:cs="Times New Roman"/>
                <w:lang w:val="de-DE"/>
              </w:rPr>
              <w:t>GB/T45001-2020/ISO45001：2020</w:t>
            </w:r>
          </w:p>
        </w:tc>
        <w:tc>
          <w:tcPr>
            <w:tcW w:w="668" w:type="dxa"/>
            <w:shd w:val="clear" w:color="auto" w:fill="FFFFFF"/>
          </w:tcPr>
          <w:p>
            <w:r>
              <w:rPr>
                <w:rFonts w:hint="eastAsia"/>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r>
              <w:t>Q:35.15.00</w:t>
            </w:r>
          </w:p>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物业管理</w:t>
            </w:r>
            <w:r>
              <w:rPr>
                <w:rFonts w:hint="eastAsia"/>
                <w:sz w:val="20"/>
              </w:rPr>
              <w:t>（办公）</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物业管理</w:t>
            </w:r>
            <w:r>
              <w:rPr>
                <w:rFonts w:hint="eastAsia"/>
                <w:sz w:val="20"/>
              </w:rPr>
              <w:t>（办公）</w:t>
            </w:r>
            <w:r>
              <w:rPr>
                <w:sz w:val="20"/>
              </w:rPr>
              <w:t>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物业管理</w:t>
            </w:r>
            <w:r>
              <w:rPr>
                <w:rFonts w:hint="eastAsia"/>
                <w:sz w:val="20"/>
              </w:rPr>
              <w:t>（办公）</w:t>
            </w:r>
            <w:r>
              <w:rPr>
                <w:sz w:val="20"/>
              </w:rPr>
              <w:t>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0" distR="0" simplePos="0" relativeHeight="251662336" behindDoc="0" locked="0" layoutInCell="1" allowOverlap="0">
                  <wp:simplePos x="0" y="0"/>
                  <wp:positionH relativeFrom="column">
                    <wp:posOffset>727075</wp:posOffset>
                  </wp:positionH>
                  <wp:positionV relativeFrom="paragraph">
                    <wp:posOffset>-6789420</wp:posOffset>
                  </wp:positionV>
                  <wp:extent cx="471170" cy="348615"/>
                  <wp:effectExtent l="0" t="0" r="1270" b="1905"/>
                  <wp:wrapThrough wrapText="bothSides">
                    <wp:wrapPolygon>
                      <wp:start x="12576" y="1889"/>
                      <wp:lineTo x="0" y="2833"/>
                      <wp:lineTo x="0" y="16052"/>
                      <wp:lineTo x="8384" y="16997"/>
                      <wp:lineTo x="8384" y="20774"/>
                      <wp:lineTo x="11877" y="20774"/>
                      <wp:lineTo x="11877" y="16997"/>
                      <wp:lineTo x="20960" y="13220"/>
                      <wp:lineTo x="20960" y="11331"/>
                      <wp:lineTo x="16069" y="1889"/>
                      <wp:lineTo x="12576" y="1889"/>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1170" cy="348615"/>
                          </a:xfrm>
                          <a:prstGeom prst="rect">
                            <a:avLst/>
                          </a:prstGeom>
                          <a:noFill/>
                          <a:ln>
                            <a:noFill/>
                          </a:ln>
                        </pic:spPr>
                      </pic:pic>
                    </a:graphicData>
                  </a:graphic>
                </wp:anchor>
              </w:drawing>
            </w:r>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2022.2.24.</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eastAsia="宋体"/>
                <w:b/>
                <w:bCs/>
                <w:lang w:eastAsia="zh-CN"/>
              </w:rPr>
              <w:t>优质服务</w:t>
            </w:r>
            <w:r>
              <w:rPr>
                <w:rFonts w:ascii="宋体" w:hAnsi="宋体" w:eastAsia="宋体"/>
                <w:b/>
                <w:bCs/>
                <w:lang w:eastAsia="zh-CN"/>
              </w:rPr>
              <w:t>、业主满意、环保达标</w:t>
            </w:r>
            <w:r>
              <w:rPr>
                <w:rFonts w:hint="eastAsia" w:ascii="宋体" w:hAnsi="宋体" w:eastAsia="宋体"/>
                <w:b/>
                <w:bCs/>
                <w:lang w:eastAsia="zh-CN"/>
              </w:rPr>
              <w:t>、</w:t>
            </w:r>
            <w:r>
              <w:rPr>
                <w:rFonts w:ascii="宋体" w:hAnsi="宋体" w:eastAsia="宋体"/>
                <w:b/>
                <w:bCs/>
                <w:lang w:eastAsia="zh-CN"/>
              </w:rPr>
              <w:t>遵规守法、持续改进</w:t>
            </w:r>
            <w:r>
              <w:rPr>
                <w:rFonts w:hint="eastAsia" w:ascii="宋体" w:hAnsi="宋体" w:eastAsia="宋体"/>
                <w:b/>
                <w:bCs/>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物业部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highlight w:val="none"/>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因原料原因导致的不能提供合规的产品和服务</w:t>
                  </w:r>
                </w:p>
              </w:tc>
              <w:tc>
                <w:tcPr>
                  <w:tcW w:w="3965" w:type="dxa"/>
                </w:tcPr>
                <w:p>
                  <w:pPr>
                    <w:shd w:val="clear" w:color="auto" w:fill="C7DAF1" w:themeFill="text2" w:themeFillTint="32"/>
                  </w:pPr>
                  <w:r>
                    <w:rPr>
                      <w:rFonts w:hint="eastAsia" w:asciiTheme="minorEastAsia" w:hAnsiTheme="minorEastAsia" w:eastAsiaTheme="minorEastAsia" w:cstheme="minorEastAsia"/>
                      <w:b w:val="0"/>
                      <w:bCs w:val="0"/>
                      <w:sz w:val="21"/>
                      <w:szCs w:val="21"/>
                    </w:rPr>
                    <w:t>要提前制定好采购计划和拓展采购的渠道，保证供应</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客户投诉处理率100%</w:t>
                  </w:r>
                </w:p>
              </w:tc>
              <w:tc>
                <w:tcPr>
                  <w:tcW w:w="3136" w:type="dxa"/>
                  <w:shd w:val="clear" w:color="auto" w:fill="auto"/>
                  <w:vAlign w:val="center"/>
                </w:tcPr>
                <w:p>
                  <w:pPr>
                    <w:shd w:val="clear" w:color="auto" w:fill="C7DAF1" w:themeFill="text2" w:themeFillTint="32"/>
                    <w:rPr>
                      <w:lang w:val="en-GB"/>
                    </w:rPr>
                  </w:pPr>
                  <w:r>
                    <w:rPr>
                      <w:rFonts w:hint="eastAsia"/>
                      <w:lang w:val="en-GB"/>
                    </w:rPr>
                    <w:t>已处理的客户投诉次数/客户投诉次数×100%</w:t>
                  </w:r>
                </w:p>
              </w:tc>
              <w:tc>
                <w:tcPr>
                  <w:tcW w:w="1350" w:type="dxa"/>
                  <w:shd w:val="clear" w:color="auto" w:fill="auto"/>
                  <w:vAlign w:val="center"/>
                </w:tcPr>
                <w:p>
                  <w:pPr>
                    <w:shd w:val="clear" w:color="auto" w:fill="C7DAF1" w:themeFill="text2" w:themeFillTint="32"/>
                    <w:rPr>
                      <w:lang w:val="en-GB"/>
                    </w:rPr>
                  </w:pPr>
                  <w:r>
                    <w:rPr>
                      <w:rFonts w:hint="eastAsia"/>
                      <w:lang w:val="en-GB"/>
                    </w:rPr>
                    <w:t>物业部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顾客满意度≥90分</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调查客户总分/客户数量</w:t>
                  </w:r>
                </w:p>
              </w:tc>
              <w:tc>
                <w:tcPr>
                  <w:tcW w:w="1350" w:type="dxa"/>
                  <w:shd w:val="clear" w:color="auto" w:fill="auto"/>
                  <w:vAlign w:val="center"/>
                </w:tcPr>
                <w:p>
                  <w:pPr>
                    <w:shd w:val="clear" w:color="auto" w:fill="C7DAF1" w:themeFill="text2" w:themeFillTint="32"/>
                    <w:rPr>
                      <w:rFonts w:ascii="宋体" w:hAnsi="宋体"/>
                    </w:rPr>
                  </w:pPr>
                  <w:r>
                    <w:rPr>
                      <w:rFonts w:hint="eastAsia"/>
                      <w:lang w:val="en-GB"/>
                    </w:rPr>
                    <w:t>物业部</w:t>
                  </w:r>
                </w:p>
              </w:tc>
              <w:tc>
                <w:tcPr>
                  <w:tcW w:w="1774" w:type="dxa"/>
                  <w:shd w:val="clear" w:color="auto" w:fill="auto"/>
                  <w:vAlign w:val="center"/>
                </w:tcPr>
                <w:p>
                  <w:pPr>
                    <w:shd w:val="clear" w:color="auto" w:fill="C7DAF1" w:themeFill="text2" w:themeFillTint="32"/>
                    <w:jc w:val="center"/>
                    <w:rPr>
                      <w:rFonts w:hint="default" w:ascii="宋体" w:hAnsi="宋体"/>
                      <w:lang w:val="en-US"/>
                    </w:rPr>
                  </w:pPr>
                  <w:r>
                    <w:rPr>
                      <w:rFonts w:hint="eastAsia" w:ascii="宋体" w:hAnsi="宋体"/>
                      <w:lang w:val="en-US" w:eastAsia="zh-CN"/>
                    </w:rPr>
                    <w:t>94分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highlight w:val="none"/>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4098</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ascii="宋体" w:hAnsi="宋体"/>
                <w:b w:val="0"/>
                <w:bCs w:val="0"/>
                <w:color w:val="000000"/>
                <w:spacing w:val="-10"/>
                <w:sz w:val="21"/>
                <w:szCs w:val="21"/>
              </w:rPr>
              <w:t>电烤箱、电蒸炉、</w:t>
            </w:r>
            <w:r>
              <w:rPr>
                <w:rFonts w:hint="eastAsia"/>
                <w:b w:val="0"/>
                <w:bCs w:val="0"/>
                <w:sz w:val="21"/>
                <w:szCs w:val="21"/>
              </w:rPr>
              <w:t>清运垃圾小车</w:t>
            </w:r>
            <w:r>
              <w:rPr>
                <w:rFonts w:hint="eastAsia"/>
                <w:b w:val="0"/>
                <w:bCs w:val="0"/>
                <w:sz w:val="21"/>
                <w:szCs w:val="21"/>
                <w:lang w:eastAsia="zh-CN"/>
              </w:rPr>
              <w:t>、</w:t>
            </w:r>
            <w:r>
              <w:rPr>
                <w:rFonts w:hint="eastAsia"/>
                <w:b w:val="0"/>
                <w:bCs w:val="0"/>
                <w:sz w:val="21"/>
                <w:szCs w:val="21"/>
                <w:lang w:val="en-US" w:eastAsia="zh-CN"/>
              </w:rPr>
              <w:t>拖把；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w:t>
            </w:r>
            <w:r>
              <w:rPr>
                <w:rFonts w:hint="eastAsia"/>
                <w:lang w:val="en-US" w:eastAsia="zh-CN"/>
              </w:rPr>
              <w:t>不适用</w:t>
            </w:r>
            <w:r>
              <w:rPr>
                <w:rFonts w:hint="eastAsia"/>
              </w:rPr>
              <w:t>（适用时）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sz w:val="20"/>
                    </w:rPr>
                    <w:t>物业管理</w:t>
                  </w:r>
                  <w:r>
                    <w:rPr>
                      <w:rFonts w:hint="eastAsia"/>
                      <w:sz w:val="20"/>
                    </w:rPr>
                    <w:t>（办公）</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如保洁：公共区域每天4次保洁，会议室1次；保安：每天巡逻4次；食堂：厨房管理标准化六常法；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作业记录及视频监控</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返工</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A3"/>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w:t>
            </w:r>
            <w:r>
              <w:rPr>
                <w:rFonts w:hint="eastAsia"/>
              </w:rPr>
              <w:sym w:font="Wingdings 2" w:char="0052"/>
            </w:r>
            <w:r>
              <w:rPr>
                <w:rFonts w:hint="eastAsia"/>
              </w:rPr>
              <w:t>消防检测□生产/服务过程□环保监测□产品运输</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rPr>
                <w:rFonts w:ascii="宋体" w:hAnsi="宋体" w:eastAsia="宋体"/>
                <w:b/>
                <w:lang w:eastAsia="zh-CN"/>
              </w:rPr>
            </w:pPr>
            <w:r>
              <w:rPr>
                <w:rFonts w:hint="eastAsia" w:ascii="宋体" w:hAnsi="宋体" w:eastAsia="宋体"/>
                <w:b/>
                <w:bCs/>
                <w:lang w:eastAsia="zh-CN"/>
              </w:rPr>
              <w:t>优质服务</w:t>
            </w:r>
            <w:r>
              <w:rPr>
                <w:rFonts w:ascii="宋体" w:hAnsi="宋体" w:eastAsia="宋体"/>
                <w:b/>
                <w:bCs/>
                <w:lang w:eastAsia="zh-CN"/>
              </w:rPr>
              <w:t>、业主满意、环保达标</w:t>
            </w:r>
            <w:r>
              <w:rPr>
                <w:rFonts w:hint="eastAsia" w:ascii="宋体" w:hAnsi="宋体" w:eastAsia="宋体"/>
                <w:b/>
                <w:bCs/>
                <w:lang w:eastAsia="zh-CN"/>
              </w:rPr>
              <w:t>、</w:t>
            </w:r>
            <w:r>
              <w:rPr>
                <w:rFonts w:ascii="宋体" w:hAnsi="宋体" w:eastAsia="宋体"/>
                <w:b/>
                <w:bCs/>
                <w:lang w:eastAsia="zh-CN"/>
              </w:rPr>
              <w:t>遵规守法、持续改进</w:t>
            </w:r>
            <w:r>
              <w:rPr>
                <w:rFonts w:hint="eastAsia" w:ascii="宋体" w:hAnsi="宋体" w:eastAsia="宋体"/>
                <w:b/>
                <w:bCs/>
                <w:lang w:eastAsia="zh-CN"/>
              </w:rPr>
              <w:t>。</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物业部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cs="宋体"/>
                      <w:color w:val="000000"/>
                      <w:kern w:val="0"/>
                      <w:sz w:val="18"/>
                      <w:szCs w:val="18"/>
                      <w:lang w:bidi="ar"/>
                    </w:rPr>
                    <w:t>法规要求</w:t>
                  </w:r>
                </w:p>
              </w:tc>
              <w:tc>
                <w:tcPr>
                  <w:tcW w:w="3965" w:type="dxa"/>
                </w:tcPr>
                <w:p>
                  <w:pPr>
                    <w:shd w:val="clear" w:color="auto" w:fill="EBF1DE" w:themeFill="accent3" w:themeFillTint="32"/>
                    <w:rPr>
                      <w:rFonts w:hint="eastAsia"/>
                    </w:rPr>
                  </w:pPr>
                  <w:r>
                    <w:rPr>
                      <w:rFonts w:hint="eastAsia"/>
                    </w:rPr>
                    <w:t>1、及时通过网络、同行业、会议等形式收集最新的法律法规和标准；</w:t>
                  </w:r>
                </w:p>
                <w:p>
                  <w:pPr>
                    <w:shd w:val="clear" w:color="auto" w:fill="EBF1DE" w:themeFill="accent3" w:themeFillTint="32"/>
                    <w:rPr>
                      <w:rFonts w:hint="eastAsia"/>
                    </w:rPr>
                  </w:pPr>
                  <w:r>
                    <w:rPr>
                      <w:rFonts w:hint="eastAsia"/>
                    </w:rPr>
                    <w:t>2、对法律法规进行识别，了解最新的要求和公司适用的条款，寻找公司的不满足之处，制定方案，确保公司满足相关法律法规和标准的要求；</w:t>
                  </w:r>
                </w:p>
                <w:p>
                  <w:pPr>
                    <w:shd w:val="clear" w:color="auto" w:fill="EBF1DE" w:themeFill="accent3" w:themeFillTint="32"/>
                    <w:rPr>
                      <w:rFonts w:hint="eastAsia"/>
                    </w:rPr>
                  </w:pPr>
                  <w:r>
                    <w:rPr>
                      <w:rFonts w:hint="eastAsia"/>
                    </w:rPr>
                    <w:t>3、组织相关员工学习新的法律法规和标准知识。</w:t>
                  </w:r>
                </w:p>
                <w:p>
                  <w:pPr>
                    <w:shd w:val="clear" w:color="auto" w:fill="EBF1DE" w:themeFill="accent3" w:themeFillTint="32"/>
                  </w:pPr>
                  <w:r>
                    <w:rPr>
                      <w:rFonts w:hint="eastAsia"/>
                    </w:rPr>
                    <w:t>4、加强员工的环境意识，降低由于物业管理活动对环境的影响，加强安全意识，杜绝安全事故的发生。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A3"/>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固废分类回收率100%</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人身伤害事故为0</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火灾事故为0</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4098</w:t>
            </w:r>
            <w:r>
              <w:rPr>
                <w:rFonts w:hint="eastAsia"/>
              </w:rPr>
              <w:t>平方米；生产车间个；库房个；实验室个；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lang w:val="en-US" w:eastAsia="zh-CN"/>
              </w:rPr>
              <w:t>全套厨房设备、抹布等</w:t>
            </w:r>
          </w:p>
          <w:p>
            <w:pPr>
              <w:shd w:val="clear" w:color="auto" w:fill="EBF1DE" w:themeFill="accent3" w:themeFillTint="32"/>
              <w:rPr>
                <w:u w:val="single"/>
              </w:rPr>
            </w:pPr>
            <w:r>
              <w:rPr>
                <w:rFonts w:hint="eastAsia"/>
              </w:rPr>
              <w:t>主要环保设备有：</w:t>
            </w:r>
            <w:r>
              <w:rPr>
                <w:rFonts w:hint="eastAsia"/>
                <w:lang w:val="en-US" w:eastAsia="zh-CN"/>
              </w:rPr>
              <w:t>油烟净化系统</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sym w:font="Wingdings 2" w:char="00A3"/>
            </w: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r>
              <w:rPr>
                <w:rFonts w:hint="eastAsia"/>
                <w:lang w:eastAsia="zh-CN"/>
              </w:rPr>
              <w:t>——</w:t>
            </w:r>
            <w:r>
              <w:rPr>
                <w:rFonts w:hint="eastAsia"/>
                <w:lang w:val="en-US" w:eastAsia="zh-CN"/>
              </w:rPr>
              <w:t>不适用</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火灾报警器、可燃气体报警器</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rPr>
                      <w:rFonts w:hint="eastAsia" w:eastAsia="宋体"/>
                      <w:lang w:eastAsia="zh-CN"/>
                    </w:rPr>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ascii="宋体" w:hAnsi="宋体"/>
                      <w:b w:val="0"/>
                      <w:bCs w:val="0"/>
                      <w:sz w:val="21"/>
                      <w:szCs w:val="21"/>
                      <w:lang w:val="en-US" w:eastAsia="zh-CN"/>
                    </w:rPr>
                    <w:t>管理方案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ascii="宋体" w:hAnsi="宋体"/>
                      <w:b w:val="0"/>
                      <w:bCs w:val="0"/>
                      <w:sz w:val="21"/>
                      <w:szCs w:val="21"/>
                      <w:lang w:val="en-US" w:eastAsia="zh-CN"/>
                    </w:rPr>
                    <w:t>管理方案；应急预案</w:t>
                  </w:r>
                </w:p>
              </w:tc>
              <w:tc>
                <w:tcPr>
                  <w:tcW w:w="3265" w:type="dxa"/>
                </w:tcPr>
                <w:p>
                  <w:pPr>
                    <w:shd w:val="clear" w:color="auto" w:fill="EBF1DE" w:themeFill="accent3" w:themeFillTint="32"/>
                    <w:jc w:val="left"/>
                  </w:pPr>
                  <w:r>
                    <w:rPr>
                      <w:rFonts w:hint="eastAsia" w:ascii="宋体" w:hAnsi="宋体"/>
                      <w:b w:val="0"/>
                      <w:bCs w:val="0"/>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电梯年检报告。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ascii="Times New Roman" w:hAnsi="Times New Roman" w:eastAsia="宋体" w:cs="Times New Roman"/>
              </w:rPr>
              <w:t>OHSMS</w:t>
            </w:r>
            <w:r>
              <w:rPr>
                <w:rFonts w:hint="eastAsia"/>
              </w:rPr>
              <w:t>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法律法规□技术□竞争□市场□文化□社会</w:t>
                  </w:r>
                  <w:r>
                    <w:rPr>
                      <w:rFonts w:hint="eastAsia"/>
                    </w:rPr>
                    <w:sym w:font="Wingdings 2" w:char="00A3"/>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认知□价值观□文化□知识□绩效□工艺□设备</w:t>
                  </w:r>
                  <w:r>
                    <w:rPr>
                      <w:rFonts w:hint="eastAsia"/>
                    </w:rPr>
                    <w:sym w:font="Wingdings 2" w:char="0052"/>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安全作业控制□职业危害管理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52"/>
            </w:r>
            <w:r>
              <w:rPr>
                <w:rFonts w:hint="eastAsia"/>
              </w:rPr>
              <w:t>消防检测□生产/服务过程□安全监测□产品运输</w:t>
            </w:r>
            <w:r>
              <w:rPr>
                <w:rFonts w:hint="eastAsia"/>
              </w:rPr>
              <w:sym w:font="Wingdings 2" w:char="0052"/>
            </w:r>
            <w:r>
              <w:rPr>
                <w:rFonts w:hint="eastAsia"/>
              </w:rPr>
              <w:t>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rPr>
                <w:rFonts w:ascii="宋体" w:hAnsi="宋体" w:eastAsia="宋体"/>
                <w:b/>
                <w:lang w:eastAsia="zh-CN"/>
              </w:rPr>
            </w:pPr>
            <w:r>
              <w:rPr>
                <w:rFonts w:hint="eastAsia" w:ascii="宋体" w:hAnsi="宋体" w:eastAsia="宋体"/>
                <w:b/>
                <w:bCs/>
                <w:lang w:eastAsia="zh-CN"/>
              </w:rPr>
              <w:t>优质服务</w:t>
            </w:r>
            <w:r>
              <w:rPr>
                <w:rFonts w:ascii="宋体" w:hAnsi="宋体" w:eastAsia="宋体"/>
                <w:b/>
                <w:bCs/>
                <w:lang w:eastAsia="zh-CN"/>
              </w:rPr>
              <w:t>、业主满意、环保达标</w:t>
            </w:r>
            <w:r>
              <w:rPr>
                <w:rFonts w:hint="eastAsia" w:ascii="宋体" w:hAnsi="宋体" w:eastAsia="宋体"/>
                <w:b/>
                <w:bCs/>
                <w:lang w:eastAsia="zh-CN"/>
              </w:rPr>
              <w:t>、</w:t>
            </w:r>
            <w:r>
              <w:rPr>
                <w:rFonts w:ascii="宋体" w:hAnsi="宋体" w:eastAsia="宋体"/>
                <w:b/>
                <w:bCs/>
                <w:lang w:eastAsia="zh-CN"/>
              </w:rPr>
              <w:t>遵规守法、持续改进</w:t>
            </w:r>
            <w:r>
              <w:rPr>
                <w:rFonts w:hint="eastAsia" w:ascii="宋体" w:hAnsi="宋体" w:eastAsia="宋体"/>
                <w:b/>
                <w:bCs/>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管代</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于双美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法规要求</w:t>
                  </w:r>
                </w:p>
              </w:tc>
              <w:tc>
                <w:tcPr>
                  <w:tcW w:w="3965" w:type="dxa"/>
                </w:tcPr>
                <w:p>
                  <w:pPr>
                    <w:rPr>
                      <w:rFonts w:hint="default" w:eastAsia="宋体"/>
                      <w:lang w:val="en-US" w:eastAsia="zh-CN"/>
                    </w:rPr>
                  </w:pPr>
                  <w:r>
                    <w:rPr>
                      <w:rFonts w:hint="eastAsia"/>
                      <w:lang w:val="en-US" w:eastAsia="zh-CN"/>
                    </w:rPr>
                    <w:t>管理方案</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cs="宋体"/>
                      <w:color w:val="000000"/>
                      <w:kern w:val="0"/>
                      <w:sz w:val="18"/>
                      <w:szCs w:val="18"/>
                      <w:lang w:bidi="ar"/>
                    </w:rPr>
                    <w:t>主管部门</w:t>
                  </w:r>
                </w:p>
              </w:tc>
              <w:tc>
                <w:tcPr>
                  <w:tcW w:w="3965" w:type="dxa"/>
                </w:tcPr>
                <w:p>
                  <w:r>
                    <w:rPr>
                      <w:rFonts w:hint="eastAsia"/>
                      <w:lang w:val="en-US" w:eastAsia="zh-CN"/>
                    </w:rPr>
                    <w:t>管理方案</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rFonts w:hint="default" w:eastAsia="宋体"/>
                <w:highlight w:val="cyan"/>
                <w:lang w:val="en-US" w:eastAsia="zh-CN"/>
              </w:rPr>
            </w:pPr>
            <w:r>
              <w:rPr>
                <w:rFonts w:hint="eastAsia"/>
              </w:rPr>
              <w:sym w:font="Wingdings 2" w:char="0052"/>
            </w:r>
            <w:r>
              <w:rPr>
                <w:rFonts w:hint="eastAsia"/>
              </w:rPr>
              <w:t>其他</w:t>
            </w:r>
            <w:r>
              <w:rPr>
                <w:rFonts w:hint="eastAsia"/>
                <w:lang w:eastAsia="zh-CN"/>
              </w:rPr>
              <w:t>：</w:t>
            </w:r>
            <w:r>
              <w:rPr>
                <w:rFonts w:hint="eastAsia"/>
                <w:lang w:val="en-US" w:eastAsia="zh-CN"/>
              </w:rPr>
              <w:t>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人身伤害事故为0</w:t>
                  </w:r>
                </w:p>
              </w:tc>
              <w:tc>
                <w:tcPr>
                  <w:tcW w:w="3136" w:type="dxa"/>
                  <w:shd w:val="clear" w:color="auto" w:fill="auto"/>
                  <w:vAlign w:val="center"/>
                </w:tcPr>
                <w:p>
                  <w:pPr>
                    <w:rPr>
                      <w:rFonts w:hint="default" w:eastAsia="宋体"/>
                      <w:lang w:val="en-US" w:eastAsia="zh-CN"/>
                    </w:rPr>
                  </w:pPr>
                  <w:r>
                    <w:rPr>
                      <w:rFonts w:hint="eastAsia"/>
                      <w:lang w:val="en-US" w:eastAsia="zh-CN"/>
                    </w:rPr>
                    <w:t>管理方案；应急预案</w:t>
                  </w:r>
                </w:p>
              </w:tc>
              <w:tc>
                <w:tcPr>
                  <w:tcW w:w="1350" w:type="dxa"/>
                  <w:shd w:val="clear" w:color="auto" w:fill="auto"/>
                  <w:vAlign w:val="center"/>
                </w:tcPr>
                <w:p>
                  <w:pPr>
                    <w:rPr>
                      <w:rFonts w:hint="eastAsia" w:eastAsia="宋体"/>
                      <w:lang w:val="en-US" w:eastAsia="zh-CN"/>
                    </w:rPr>
                  </w:pPr>
                  <w:r>
                    <w:rPr>
                      <w:rFonts w:hint="eastAsia"/>
                      <w:lang w:val="en-US" w:eastAsia="zh-CN"/>
                    </w:rPr>
                    <w:t>管代</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火灾事故为0</w:t>
                  </w:r>
                </w:p>
              </w:tc>
              <w:tc>
                <w:tcPr>
                  <w:tcW w:w="3136" w:type="dxa"/>
                  <w:shd w:val="clear" w:color="auto" w:fill="auto"/>
                  <w:vAlign w:val="center"/>
                </w:tcPr>
                <w:p>
                  <w:pPr>
                    <w:rPr>
                      <w:rFonts w:ascii="宋体" w:hAnsi="宋体"/>
                    </w:rPr>
                  </w:pPr>
                  <w:r>
                    <w:rPr>
                      <w:rFonts w:hint="eastAsia"/>
                      <w:lang w:val="en-US" w:eastAsia="zh-CN"/>
                    </w:rPr>
                    <w:t>管理方案；应急预案</w:t>
                  </w:r>
                </w:p>
              </w:tc>
              <w:tc>
                <w:tcPr>
                  <w:tcW w:w="1350" w:type="dxa"/>
                  <w:shd w:val="clear" w:color="auto" w:fill="auto"/>
                  <w:vAlign w:val="center"/>
                </w:tcPr>
                <w:p>
                  <w:pPr>
                    <w:rPr>
                      <w:rFonts w:ascii="宋体" w:hAnsi="宋体"/>
                    </w:rPr>
                  </w:pPr>
                  <w:r>
                    <w:rPr>
                      <w:rFonts w:hint="eastAsia"/>
                      <w:lang w:val="en-US" w:eastAsia="zh-CN"/>
                    </w:rPr>
                    <w:t>管代</w:t>
                  </w:r>
                </w:p>
              </w:tc>
              <w:tc>
                <w:tcPr>
                  <w:tcW w:w="1774" w:type="dxa"/>
                  <w:shd w:val="clear" w:color="auto" w:fill="auto"/>
                  <w:vAlign w:val="center"/>
                </w:tcPr>
                <w:p>
                  <w:pPr>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A3"/>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4098</w:t>
            </w:r>
            <w:r>
              <w:rPr>
                <w:rFonts w:hint="eastAsia"/>
              </w:rPr>
              <w:t>平方米；生产车间个；库房个；实验室个；</w:t>
            </w:r>
          </w:p>
          <w:p>
            <w:pPr>
              <w:rPr>
                <w:rFonts w:hint="default" w:eastAsia="宋体"/>
                <w:u w:val="single"/>
                <w:lang w:val="en-US" w:eastAsia="zh-CN"/>
              </w:rPr>
            </w:pPr>
            <w:r>
              <w:rPr>
                <w:rFonts w:hint="eastAsia"/>
              </w:rPr>
              <w:t>主要生产设备有：</w:t>
            </w:r>
            <w:r>
              <w:rPr>
                <w:rFonts w:hint="eastAsia"/>
                <w:u w:val="single"/>
                <w:lang w:val="en-US" w:eastAsia="zh-CN"/>
              </w:rPr>
              <w:t>全套厨房设备、拖把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应急预案及演练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rPr>
                <w:rFonts w:hint="default" w:eastAsia="宋体"/>
                <w:lang w:val="en-US" w:eastAsia="zh-CN"/>
              </w:rPr>
            </w:pPr>
            <w:r>
              <w:rPr>
                <w:rFonts w:hint="eastAsia"/>
              </w:rPr>
              <w:t>特种设备检测报告，如：</w:t>
            </w:r>
            <w:r>
              <w:rPr>
                <w:rFonts w:hint="eastAsia"/>
                <w:u w:val="single"/>
                <w:lang w:val="en-US" w:eastAsia="zh-CN"/>
              </w:rPr>
              <w:t>电梯年检报告、</w:t>
            </w:r>
            <w:r>
              <w:rPr>
                <w:rFonts w:hint="eastAsia"/>
                <w:lang w:val="en-US" w:eastAsia="zh-CN"/>
              </w:rPr>
              <w:t>消防设施维护保养报告书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672AE"/>
    <w:rsid w:val="015953CA"/>
    <w:rsid w:val="031554B0"/>
    <w:rsid w:val="03750ED4"/>
    <w:rsid w:val="03983291"/>
    <w:rsid w:val="06B41ECC"/>
    <w:rsid w:val="08AF466C"/>
    <w:rsid w:val="0B3D1979"/>
    <w:rsid w:val="0BE04A65"/>
    <w:rsid w:val="0FA755CE"/>
    <w:rsid w:val="123A4D8B"/>
    <w:rsid w:val="139D55DB"/>
    <w:rsid w:val="14DD5A7A"/>
    <w:rsid w:val="157E6CE5"/>
    <w:rsid w:val="16810BF3"/>
    <w:rsid w:val="17795D6E"/>
    <w:rsid w:val="18007A8A"/>
    <w:rsid w:val="19444A3C"/>
    <w:rsid w:val="197639DB"/>
    <w:rsid w:val="1C5F3D7E"/>
    <w:rsid w:val="1C6517A8"/>
    <w:rsid w:val="1D1D719C"/>
    <w:rsid w:val="1DB875D1"/>
    <w:rsid w:val="1DFC2475"/>
    <w:rsid w:val="1ED41ADC"/>
    <w:rsid w:val="1F0431F3"/>
    <w:rsid w:val="2137674A"/>
    <w:rsid w:val="24877156"/>
    <w:rsid w:val="25932D6C"/>
    <w:rsid w:val="25AA5693"/>
    <w:rsid w:val="29946632"/>
    <w:rsid w:val="2BD653EE"/>
    <w:rsid w:val="2BDC3787"/>
    <w:rsid w:val="2D4E6144"/>
    <w:rsid w:val="3514697D"/>
    <w:rsid w:val="35FE5964"/>
    <w:rsid w:val="381165F7"/>
    <w:rsid w:val="39017B56"/>
    <w:rsid w:val="39256E37"/>
    <w:rsid w:val="392A081F"/>
    <w:rsid w:val="3B23141D"/>
    <w:rsid w:val="3B91709A"/>
    <w:rsid w:val="3C9E64E8"/>
    <w:rsid w:val="3DDD68A7"/>
    <w:rsid w:val="404E74E8"/>
    <w:rsid w:val="42660B19"/>
    <w:rsid w:val="42DB5C8E"/>
    <w:rsid w:val="443E248F"/>
    <w:rsid w:val="465E7D59"/>
    <w:rsid w:val="47E32557"/>
    <w:rsid w:val="488A0DED"/>
    <w:rsid w:val="48D22491"/>
    <w:rsid w:val="49701659"/>
    <w:rsid w:val="4EEB47B3"/>
    <w:rsid w:val="50740B35"/>
    <w:rsid w:val="51B36B34"/>
    <w:rsid w:val="51DA78E3"/>
    <w:rsid w:val="53114F8E"/>
    <w:rsid w:val="55FF1D88"/>
    <w:rsid w:val="56542B88"/>
    <w:rsid w:val="5ABB3F0C"/>
    <w:rsid w:val="6107300D"/>
    <w:rsid w:val="638D2182"/>
    <w:rsid w:val="64B330A9"/>
    <w:rsid w:val="6535338E"/>
    <w:rsid w:val="66A91516"/>
    <w:rsid w:val="66EE6165"/>
    <w:rsid w:val="679C2918"/>
    <w:rsid w:val="6CAF55D5"/>
    <w:rsid w:val="6CC04E53"/>
    <w:rsid w:val="6CC14A1B"/>
    <w:rsid w:val="6CDA5ADC"/>
    <w:rsid w:val="6D2546B8"/>
    <w:rsid w:val="6DC35248"/>
    <w:rsid w:val="6EF060CE"/>
    <w:rsid w:val="702A5D52"/>
    <w:rsid w:val="70ED4BF5"/>
    <w:rsid w:val="74210D75"/>
    <w:rsid w:val="74400593"/>
    <w:rsid w:val="74F669CC"/>
    <w:rsid w:val="75E06E93"/>
    <w:rsid w:val="762229CE"/>
    <w:rsid w:val="7CBB3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2022-03-03T12:01:15Z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