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0102-2022-Q</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广州市鑫伟达自动化设备有限公司</w:t>
            </w:r>
            <w:bookmarkEnd w:id="1"/>
          </w:p>
        </w:tc>
        <w:tc>
          <w:tcPr>
            <w:tcW w:w="1370"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李俐</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3"/>
          </w:tcPr>
          <w:p>
            <w:pPr>
              <w:snapToGrid w:val="0"/>
              <w:spacing w:line="0" w:lineRule="atLeast"/>
              <w:jc w:val="center"/>
              <w:rPr>
                <w:sz w:val="22"/>
                <w:szCs w:val="22"/>
              </w:rPr>
            </w:pPr>
          </w:p>
        </w:tc>
        <w:tc>
          <w:tcPr>
            <w:tcW w:w="1370"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3"/>
          </w:tcPr>
          <w:p>
            <w:pPr>
              <w:snapToGrid w:val="0"/>
              <w:spacing w:line="0" w:lineRule="atLeast"/>
              <w:jc w:val="center"/>
              <w:rPr>
                <w:sz w:val="22"/>
                <w:szCs w:val="22"/>
              </w:rPr>
            </w:pPr>
            <w:bookmarkStart w:id="4" w:name="机构代码"/>
            <w:r>
              <w:rPr>
                <w:sz w:val="22"/>
                <w:szCs w:val="22"/>
              </w:rPr>
              <w:t>91440101MA59PT2C0H</w:t>
            </w:r>
            <w:bookmarkEnd w:id="4"/>
          </w:p>
        </w:tc>
        <w:tc>
          <w:tcPr>
            <w:tcW w:w="1370"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sz w:val="22"/>
                <w:szCs w:val="22"/>
              </w:rPr>
            </w:pPr>
            <w:r>
              <w:rPr>
                <w:rFonts w:hint="eastAsia" w:ascii="Wingdings" w:hAnsi="Wingdings"/>
                <w:sz w:val="22"/>
                <w:szCs w:val="22"/>
              </w:rPr>
              <w:t>¨</w:t>
            </w:r>
            <w:r>
              <w:rPr>
                <w:rFonts w:hint="eastAsia"/>
                <w:sz w:val="22"/>
                <w:szCs w:val="22"/>
              </w:rPr>
              <w:t xml:space="preserve"> 带标  </w:t>
            </w:r>
            <w:r>
              <w:rPr>
                <w:rFonts w:hint="eastAsia" w:ascii="Wingdings" w:hAnsi="Wingdings"/>
                <w:sz w:val="22"/>
                <w:szCs w:val="22"/>
              </w:rPr>
              <w:t>¨</w:t>
            </w:r>
            <w:r>
              <w:rPr>
                <w:rFonts w:hint="eastAsia"/>
                <w:sz w:val="22"/>
                <w:szCs w:val="22"/>
              </w:rPr>
              <w:t>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pPr>
              <w:snapToGrid w:val="0"/>
              <w:spacing w:line="0" w:lineRule="atLeast"/>
              <w:jc w:val="left"/>
              <w:rPr>
                <w:sz w:val="22"/>
                <w:szCs w:val="22"/>
              </w:rPr>
            </w:pPr>
            <w:bookmarkStart w:id="5" w:name="Q勾选"/>
            <w:r>
              <w:rPr>
                <w:rFonts w:hint="eastAsia"/>
                <w:sz w:val="22"/>
                <w:szCs w:val="22"/>
              </w:rPr>
              <w:t>■</w:t>
            </w:r>
            <w:bookmarkEnd w:id="5"/>
            <w:r>
              <w:rPr>
                <w:rFonts w:hint="eastAsia"/>
                <w:sz w:val="22"/>
                <w:szCs w:val="22"/>
              </w:rPr>
              <w:t xml:space="preserve"> GB/T 19001-2016 idt ISO 9001:2015标准 (不适用：  条款)</w:t>
            </w:r>
          </w:p>
          <w:p>
            <w:pPr>
              <w:snapToGrid w:val="0"/>
              <w:spacing w:line="0" w:lineRule="atLeast"/>
              <w:jc w:val="left"/>
              <w:rPr>
                <w:sz w:val="22"/>
                <w:szCs w:val="22"/>
              </w:rPr>
            </w:pPr>
            <w:bookmarkStart w:id="6" w:name="QJ勾选"/>
            <w:r>
              <w:rPr>
                <w:rFonts w:hint="eastAsia"/>
                <w:sz w:val="22"/>
                <w:szCs w:val="22"/>
              </w:rPr>
              <w:t>□</w:t>
            </w:r>
            <w:bookmarkEnd w:id="6"/>
            <w:r>
              <w:rPr>
                <w:rFonts w:hint="eastAsia"/>
                <w:sz w:val="22"/>
                <w:szCs w:val="22"/>
              </w:rPr>
              <w:t xml:space="preserve"> GB/T 50430-2017 (不适用：  条款)；</w:t>
            </w:r>
          </w:p>
          <w:p>
            <w:pPr>
              <w:snapToGrid w:val="0"/>
              <w:spacing w:line="0" w:lineRule="atLeast"/>
              <w:jc w:val="left"/>
              <w:rPr>
                <w:sz w:val="22"/>
                <w:szCs w:val="22"/>
              </w:rPr>
            </w:pPr>
            <w:bookmarkStart w:id="7" w:name="E勾选"/>
            <w:r>
              <w:rPr>
                <w:rFonts w:hint="eastAsia"/>
                <w:sz w:val="22"/>
                <w:szCs w:val="22"/>
              </w:rPr>
              <w:t>□</w:t>
            </w:r>
            <w:bookmarkEnd w:id="7"/>
            <w:r>
              <w:rPr>
                <w:rFonts w:hint="eastAsia"/>
                <w:sz w:val="22"/>
                <w:szCs w:val="22"/>
              </w:rPr>
              <w:t xml:space="preserve"> GB/T 24001-2016 idt ISO 14001:2015标准；</w:t>
            </w:r>
          </w:p>
          <w:p>
            <w:pPr>
              <w:snapToGrid w:val="0"/>
              <w:spacing w:line="0" w:lineRule="atLeast"/>
              <w:jc w:val="left"/>
              <w:rPr>
                <w:sz w:val="22"/>
                <w:szCs w:val="22"/>
              </w:rPr>
            </w:pPr>
            <w:bookmarkStart w:id="8" w:name="S勾选"/>
            <w:r>
              <w:rPr>
                <w:rFonts w:hint="eastAsia"/>
                <w:sz w:val="22"/>
                <w:szCs w:val="22"/>
              </w:rPr>
              <w:t>□</w:t>
            </w:r>
            <w:bookmarkEnd w:id="8"/>
            <w:r>
              <w:rPr>
                <w:rFonts w:hint="eastAsia"/>
                <w:sz w:val="22"/>
                <w:szCs w:val="22"/>
              </w:rPr>
              <w:t xml:space="preserve"> GB/T 45001-2020 idt ISO 45001:2018标准；</w:t>
            </w:r>
          </w:p>
          <w:p>
            <w:pPr>
              <w:snapToGrid w:val="0"/>
              <w:spacing w:line="0" w:lineRule="atLeast"/>
              <w:jc w:val="left"/>
              <w:rPr>
                <w:sz w:val="22"/>
                <w:szCs w:val="22"/>
              </w:rPr>
            </w:pPr>
            <w:bookmarkStart w:id="9" w:name="EnMS勾选"/>
            <w:r>
              <w:rPr>
                <w:rFonts w:hint="eastAsia"/>
                <w:sz w:val="22"/>
                <w:szCs w:val="22"/>
              </w:rPr>
              <w:t>□</w:t>
            </w:r>
            <w:bookmarkEnd w:id="9"/>
            <w:r>
              <w:rPr>
                <w:rFonts w:hint="eastAsia"/>
                <w:sz w:val="22"/>
                <w:szCs w:val="22"/>
              </w:rPr>
              <w:t xml:space="preserve"> GB/T 23331-2020 idt ISO 50001:2018标准；</w:t>
            </w:r>
          </w:p>
          <w:p>
            <w:pPr>
              <w:snapToGrid w:val="0"/>
              <w:spacing w:line="0" w:lineRule="atLeast"/>
              <w:jc w:val="left"/>
              <w:rPr>
                <w:sz w:val="22"/>
                <w:szCs w:val="22"/>
              </w:rPr>
            </w:pPr>
            <w:r>
              <w:rPr>
                <w:rFonts w:hint="eastAsia"/>
                <w:sz w:val="22"/>
                <w:szCs w:val="22"/>
              </w:rPr>
              <w:t xml:space="preserve">□RB/T XXXX-XXXX                     </w:t>
            </w:r>
          </w:p>
          <w:p>
            <w:pPr>
              <w:snapToGrid w:val="0"/>
              <w:spacing w:line="0" w:lineRule="atLeast"/>
              <w:jc w:val="left"/>
              <w:rPr>
                <w:sz w:val="22"/>
                <w:szCs w:val="22"/>
              </w:rPr>
            </w:pPr>
            <w:bookmarkStart w:id="10" w:name="F勾选"/>
            <w:r>
              <w:rPr>
                <w:rFonts w:hint="eastAsia"/>
                <w:sz w:val="22"/>
                <w:szCs w:val="22"/>
              </w:rPr>
              <w:t>□</w:t>
            </w:r>
            <w:bookmarkEnd w:id="10"/>
            <w:r>
              <w:rPr>
                <w:rFonts w:hint="eastAsia"/>
                <w:sz w:val="22"/>
                <w:szCs w:val="22"/>
              </w:rPr>
              <w:t>ISO 22000-2018</w:t>
            </w:r>
          </w:p>
          <w:p>
            <w:pPr>
              <w:snapToGrid w:val="0"/>
              <w:spacing w:line="0" w:lineRule="atLeast"/>
              <w:jc w:val="left"/>
              <w:rPr>
                <w:sz w:val="22"/>
                <w:szCs w:val="22"/>
              </w:rPr>
            </w:pPr>
            <w:bookmarkStart w:id="11" w:name="H勾选"/>
            <w:r>
              <w:rPr>
                <w:rFonts w:hint="eastAsia"/>
                <w:sz w:val="22"/>
                <w:szCs w:val="22"/>
              </w:rPr>
              <w:t>□</w:t>
            </w:r>
            <w:bookmarkEnd w:id="11"/>
            <w:r>
              <w:rPr>
                <w:rFonts w:hint="eastAsia"/>
                <w:sz w:val="22"/>
                <w:szCs w:val="22"/>
              </w:rPr>
              <w:t>GB/T 27341-2009&amp;GB 14881-2013&amp;危害分析与关键控制点（HACCP体系）认证补充要求 1.0</w:t>
            </w:r>
          </w:p>
        </w:tc>
        <w:tc>
          <w:tcPr>
            <w:tcW w:w="1370"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12" w:name="体系人数"/>
            <w:r>
              <w:rPr>
                <w:sz w:val="22"/>
                <w:szCs w:val="22"/>
              </w:rPr>
              <w:t>12</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5"/>
          </w:tcPr>
          <w:p>
            <w:pPr>
              <w:pStyle w:val="2"/>
              <w:spacing w:line="400" w:lineRule="exact"/>
              <w:ind w:firstLine="0"/>
              <w:rPr>
                <w:sz w:val="22"/>
                <w:szCs w:val="22"/>
              </w:rPr>
            </w:pPr>
            <w:bookmarkStart w:id="13" w:name="初审"/>
            <w:r>
              <w:rPr>
                <w:rFonts w:hint="eastAsia"/>
                <w:b/>
                <w:color w:val="000000" w:themeColor="text1"/>
                <w:spacing w:val="-2"/>
                <w:sz w:val="21"/>
                <w:szCs w:val="21"/>
              </w:rPr>
              <w:t>■</w:t>
            </w:r>
            <w:bookmarkEnd w:id="13"/>
            <w:r>
              <w:rPr>
                <w:rFonts w:hint="eastAsia"/>
                <w:b/>
                <w:color w:val="000000" w:themeColor="text1"/>
                <w:spacing w:val="-2"/>
                <w:sz w:val="21"/>
                <w:szCs w:val="21"/>
              </w:rPr>
              <w:t>初次认证</w:t>
            </w:r>
            <w:bookmarkStart w:id="14" w:name="监督勾选"/>
            <w:r>
              <w:rPr>
                <w:rFonts w:hint="eastAsia"/>
                <w:b/>
                <w:color w:val="000000" w:themeColor="text1"/>
                <w:spacing w:val="-2"/>
                <w:sz w:val="21"/>
                <w:szCs w:val="21"/>
              </w:rPr>
              <w:t>□</w:t>
            </w:r>
            <w:bookmarkEnd w:id="14"/>
            <w:r>
              <w:rPr>
                <w:rFonts w:hint="eastAsia"/>
                <w:b/>
                <w:color w:val="000000" w:themeColor="text1"/>
                <w:spacing w:val="-2"/>
                <w:sz w:val="21"/>
                <w:szCs w:val="21"/>
              </w:rPr>
              <w:t>监督审核</w:t>
            </w:r>
            <w:bookmarkStart w:id="15" w:name="再认证勾选"/>
            <w:r>
              <w:rPr>
                <w:rFonts w:hint="eastAsia"/>
                <w:b/>
                <w:color w:val="000000" w:themeColor="text1"/>
                <w:spacing w:val="-2"/>
                <w:sz w:val="21"/>
                <w:szCs w:val="21"/>
              </w:rPr>
              <w:t>□</w:t>
            </w:r>
            <w:bookmarkEnd w:id="15"/>
            <w:r>
              <w:rPr>
                <w:rFonts w:hint="eastAsia"/>
                <w:b/>
                <w:color w:val="000000" w:themeColor="text1"/>
                <w:spacing w:val="-2"/>
                <w:sz w:val="21"/>
                <w:szCs w:val="21"/>
              </w:rPr>
              <w:t>再认证</w:t>
            </w:r>
            <w:bookmarkStart w:id="16" w:name="特殊审核勾选"/>
            <w:r>
              <w:rPr>
                <w:rFonts w:hint="eastAsia"/>
                <w:b/>
                <w:color w:val="000000" w:themeColor="text1"/>
                <w:spacing w:val="-2"/>
                <w:sz w:val="21"/>
                <w:szCs w:val="21"/>
              </w:rPr>
              <w:t>□</w:t>
            </w:r>
            <w:bookmarkEnd w:id="16"/>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5"/>
          </w:tcPr>
          <w:p>
            <w:pPr>
              <w:pStyle w:val="2"/>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tcPr>
          <w:p>
            <w:pPr>
              <w:snapToGrid w:val="0"/>
              <w:spacing w:line="0" w:lineRule="atLeast"/>
              <w:jc w:val="left"/>
              <w:rPr>
                <w:sz w:val="22"/>
                <w:szCs w:val="22"/>
              </w:rPr>
            </w:pPr>
            <w:r>
              <w:rPr>
                <w:rFonts w:hint="eastAsia"/>
                <w:sz w:val="22"/>
                <w:szCs w:val="22"/>
                <w:lang w:val="en-GB"/>
              </w:rPr>
              <w:t>公司名称</w:t>
            </w:r>
          </w:p>
        </w:tc>
        <w:tc>
          <w:tcPr>
            <w:tcW w:w="3373" w:type="dxa"/>
            <w:vMerge w:val="restart"/>
          </w:tcPr>
          <w:p>
            <w:pPr>
              <w:snapToGrid w:val="0"/>
              <w:spacing w:line="0" w:lineRule="atLeast"/>
              <w:jc w:val="left"/>
              <w:rPr>
                <w:sz w:val="22"/>
                <w:szCs w:val="22"/>
                <w:lang w:val="en-GB"/>
              </w:rPr>
            </w:pPr>
            <w:bookmarkStart w:id="17" w:name="组织名称Add1"/>
            <w:r>
              <w:rPr>
                <w:rFonts w:hint="eastAsia"/>
                <w:sz w:val="22"/>
                <w:szCs w:val="22"/>
              </w:rPr>
              <w:t>广州市鑫伟达自动化设备有限公司</w:t>
            </w:r>
            <w:bookmarkEnd w:id="17"/>
          </w:p>
        </w:tc>
        <w:tc>
          <w:tcPr>
            <w:tcW w:w="5013" w:type="dxa"/>
            <w:gridSpan w:val="4"/>
            <w:vMerge w:val="restart"/>
          </w:tcPr>
          <w:p>
            <w:pPr>
              <w:snapToGrid w:val="0"/>
              <w:spacing w:line="0" w:lineRule="atLeast"/>
              <w:jc w:val="left"/>
              <w:rPr>
                <w:sz w:val="22"/>
                <w:szCs w:val="22"/>
              </w:rPr>
            </w:pPr>
            <w:bookmarkStart w:id="18" w:name="审核范围"/>
            <w:r>
              <w:rPr>
                <w:sz w:val="22"/>
                <w:szCs w:val="22"/>
              </w:rPr>
              <w:t>物料搬运装备、金属结构、金属制品、机械设备的销售；城市轨道交通设备（工艺装备）的设计、制造、销售及技术服务</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sz w:val="22"/>
                <w:szCs w:val="22"/>
              </w:rPr>
            </w:pPr>
            <w:bookmarkStart w:id="19" w:name="注册地址"/>
            <w:r>
              <w:rPr>
                <w:rFonts w:hint="eastAsia"/>
                <w:sz w:val="22"/>
                <w:szCs w:val="22"/>
                <w:lang w:val="en-GB"/>
              </w:rPr>
              <w:t>广州市南沙区东涌镇太石工业区太南路168号自编1号</w:t>
            </w:r>
            <w:bookmarkEnd w:id="19"/>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tcPr>
          <w:p>
            <w:pPr>
              <w:snapToGrid w:val="0"/>
              <w:spacing w:line="0" w:lineRule="atLeast"/>
              <w:jc w:val="left"/>
              <w:rPr>
                <w:sz w:val="22"/>
                <w:szCs w:val="22"/>
              </w:rPr>
            </w:pPr>
            <w:bookmarkStart w:id="20" w:name="办公地址"/>
            <w:r>
              <w:rPr>
                <w:rFonts w:hint="eastAsia"/>
                <w:sz w:val="22"/>
                <w:szCs w:val="22"/>
                <w:lang w:val="en-GB"/>
              </w:rPr>
              <w:t>广州市南沙区东涌镇太石工业区太南路168号自编1号</w:t>
            </w:r>
            <w:bookmarkEnd w:id="20"/>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4"/>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pPr>
              <w:snapToGrid w:val="0"/>
              <w:spacing w:line="0" w:lineRule="atLeast"/>
              <w:jc w:val="left"/>
              <w:rPr>
                <w:color w:val="000000" w:themeColor="text1"/>
                <w:sz w:val="22"/>
                <w:szCs w:val="22"/>
              </w:rPr>
            </w:pPr>
            <w:r>
              <w:rPr>
                <w:rFonts w:hint="eastAsia" w:cs="Arial"/>
                <w:b/>
                <w:bCs/>
                <w:color w:val="000000" w:themeColor="text1"/>
                <w:sz w:val="22"/>
                <w:szCs w:val="16"/>
              </w:rPr>
              <w:t>Guangzhou Xin Weida Automation Equipment Co., Ltd</w:t>
            </w:r>
          </w:p>
        </w:tc>
        <w:tc>
          <w:tcPr>
            <w:tcW w:w="1337" w:type="dxa"/>
          </w:tcPr>
          <w:p>
            <w:pPr>
              <w:snapToGrid w:val="0"/>
              <w:spacing w:line="0" w:lineRule="atLeast"/>
              <w:jc w:val="left"/>
              <w:rPr>
                <w:color w:val="000000" w:themeColor="text1"/>
                <w:sz w:val="22"/>
                <w:szCs w:val="22"/>
              </w:rPr>
            </w:pPr>
            <w:r>
              <w:rPr>
                <w:rFonts w:hint="eastAsia"/>
                <w:color w:val="000000" w:themeColor="text1"/>
                <w:sz w:val="22"/>
                <w:szCs w:val="22"/>
              </w:rPr>
              <w:t>QMS/EcMS</w:t>
            </w:r>
          </w:p>
        </w:tc>
        <w:tc>
          <w:tcPr>
            <w:tcW w:w="3676" w:type="dxa"/>
            <w:gridSpan w:val="3"/>
          </w:tcPr>
          <w:p>
            <w:pPr>
              <w:snapToGrid w:val="0"/>
              <w:spacing w:line="0" w:lineRule="atLeast"/>
              <w:jc w:val="left"/>
              <w:rPr>
                <w:color w:val="000000" w:themeColor="text1"/>
                <w:sz w:val="21"/>
                <w:szCs w:val="16"/>
              </w:rPr>
            </w:pPr>
            <w:r>
              <w:rPr>
                <w:rFonts w:hint="eastAsia" w:cs="Arial"/>
                <w:b/>
                <w:bCs/>
                <w:color w:val="000000" w:themeColor="text1"/>
                <w:sz w:val="22"/>
                <w:szCs w:val="16"/>
              </w:rPr>
              <w:t>Sales of material handling equipment, metal structure, metal products, mechanical equipment; the design, manufacturing, sales and technical services of urban rail transit equipment (craft equipment)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color w:val="000000" w:themeColor="text1"/>
                <w:sz w:val="22"/>
                <w:szCs w:val="16"/>
              </w:rPr>
            </w:pPr>
          </w:p>
        </w:tc>
        <w:tc>
          <w:tcPr>
            <w:tcW w:w="1337" w:type="dxa"/>
          </w:tcPr>
          <w:p>
            <w:pPr>
              <w:snapToGrid w:val="0"/>
              <w:spacing w:line="0" w:lineRule="atLeast"/>
              <w:jc w:val="left"/>
              <w:rPr>
                <w:color w:val="000000" w:themeColor="text1"/>
                <w:sz w:val="22"/>
                <w:szCs w:val="22"/>
              </w:rPr>
            </w:pPr>
            <w:r>
              <w:rPr>
                <w:rFonts w:hint="eastAsia"/>
                <w:color w:val="000000" w:themeColor="text1"/>
                <w:sz w:val="22"/>
                <w:szCs w:val="22"/>
              </w:rPr>
              <w:t>EMS</w:t>
            </w:r>
          </w:p>
        </w:tc>
        <w:tc>
          <w:tcPr>
            <w:tcW w:w="3676" w:type="dxa"/>
            <w:gridSpan w:val="3"/>
          </w:tcPr>
          <w:p>
            <w:pPr>
              <w:snapToGrid w:val="0"/>
              <w:spacing w:line="0" w:lineRule="atLeast"/>
              <w:jc w:val="left"/>
              <w:rPr>
                <w:color w:val="000000" w:themeColor="text1"/>
                <w:sz w:val="21"/>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pPr>
              <w:snapToGrid w:val="0"/>
              <w:spacing w:line="0" w:lineRule="atLeast"/>
              <w:jc w:val="left"/>
              <w:rPr>
                <w:color w:val="000000" w:themeColor="text1"/>
                <w:sz w:val="22"/>
                <w:szCs w:val="22"/>
              </w:rPr>
            </w:pPr>
            <w:r>
              <w:rPr>
                <w:rFonts w:hint="eastAsia" w:cs="Arial"/>
                <w:b/>
                <w:bCs/>
                <w:color w:val="000000" w:themeColor="text1"/>
                <w:sz w:val="22"/>
                <w:szCs w:val="16"/>
              </w:rPr>
              <w:t>No.168, Tainan Road, Taishi Industrial Zone, Dongyong Town, Nansha District, Guangzhou City</w:t>
            </w:r>
          </w:p>
        </w:tc>
        <w:tc>
          <w:tcPr>
            <w:tcW w:w="1337" w:type="dxa"/>
          </w:tcPr>
          <w:p>
            <w:pPr>
              <w:snapToGrid w:val="0"/>
              <w:spacing w:line="0" w:lineRule="atLeast"/>
              <w:jc w:val="left"/>
              <w:rPr>
                <w:color w:val="000000" w:themeColor="text1"/>
                <w:sz w:val="22"/>
                <w:szCs w:val="22"/>
              </w:rPr>
            </w:pPr>
            <w:r>
              <w:rPr>
                <w:rFonts w:hint="eastAsia"/>
                <w:color w:val="000000" w:themeColor="text1"/>
                <w:sz w:val="22"/>
                <w:szCs w:val="22"/>
              </w:rPr>
              <w:t>OHSMS</w:t>
            </w:r>
          </w:p>
        </w:tc>
        <w:tc>
          <w:tcPr>
            <w:tcW w:w="3676" w:type="dxa"/>
            <w:gridSpan w:val="3"/>
          </w:tcPr>
          <w:p>
            <w:pPr>
              <w:snapToGrid w:val="0"/>
              <w:spacing w:line="0" w:lineRule="atLeast"/>
              <w:jc w:val="left"/>
              <w:rPr>
                <w:color w:val="000000" w:themeColor="text1"/>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1576" w:type="dxa"/>
            <w:vMerge w:val="continue"/>
          </w:tcPr>
          <w:p>
            <w:pPr>
              <w:snapToGrid w:val="0"/>
              <w:spacing w:line="0" w:lineRule="atLeast"/>
              <w:jc w:val="left"/>
              <w:rPr>
                <w:sz w:val="22"/>
                <w:szCs w:val="16"/>
              </w:rPr>
            </w:pPr>
          </w:p>
        </w:tc>
        <w:tc>
          <w:tcPr>
            <w:tcW w:w="3373" w:type="dxa"/>
            <w:vMerge w:val="continue"/>
          </w:tcPr>
          <w:p>
            <w:pPr>
              <w:snapToGrid w:val="0"/>
              <w:spacing w:line="0" w:lineRule="atLeast"/>
              <w:jc w:val="left"/>
              <w:rPr>
                <w:rFonts w:cs="Arial"/>
                <w:b/>
                <w:bCs/>
                <w:color w:val="000000" w:themeColor="text1"/>
                <w:sz w:val="22"/>
                <w:szCs w:val="16"/>
              </w:rPr>
            </w:pPr>
          </w:p>
        </w:tc>
        <w:tc>
          <w:tcPr>
            <w:tcW w:w="1337" w:type="dxa"/>
          </w:tcPr>
          <w:p>
            <w:pPr>
              <w:snapToGrid w:val="0"/>
              <w:spacing w:line="0" w:lineRule="atLeast"/>
              <w:jc w:val="left"/>
              <w:rPr>
                <w:color w:val="000000" w:themeColor="text1"/>
                <w:sz w:val="22"/>
                <w:szCs w:val="22"/>
              </w:rPr>
            </w:pPr>
            <w:r>
              <w:rPr>
                <w:rFonts w:hint="eastAsia"/>
                <w:color w:val="000000" w:themeColor="text1"/>
                <w:sz w:val="22"/>
                <w:szCs w:val="22"/>
              </w:rPr>
              <w:t>EnMS</w:t>
            </w:r>
          </w:p>
        </w:tc>
        <w:tc>
          <w:tcPr>
            <w:tcW w:w="3676" w:type="dxa"/>
            <w:gridSpan w:val="3"/>
          </w:tcPr>
          <w:p>
            <w:pPr>
              <w:snapToGrid w:val="0"/>
              <w:spacing w:line="0" w:lineRule="atLeast"/>
              <w:jc w:val="left"/>
              <w:rPr>
                <w:color w:val="000000" w:themeColor="text1"/>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pPr>
              <w:snapToGrid w:val="0"/>
              <w:spacing w:line="0" w:lineRule="atLeast"/>
              <w:jc w:val="left"/>
              <w:rPr>
                <w:color w:val="000000" w:themeColor="text1"/>
                <w:sz w:val="22"/>
                <w:szCs w:val="22"/>
              </w:rPr>
            </w:pPr>
            <w:r>
              <w:rPr>
                <w:rFonts w:hint="eastAsia" w:cs="Arial"/>
                <w:b/>
                <w:bCs/>
                <w:color w:val="000000" w:themeColor="text1"/>
                <w:sz w:val="22"/>
                <w:szCs w:val="16"/>
              </w:rPr>
              <w:t>No.168, Tainan Road, Taishi Industrial Zone, Dongyong Town, Nansha District, Guangzhou City</w:t>
            </w:r>
          </w:p>
        </w:tc>
        <w:tc>
          <w:tcPr>
            <w:tcW w:w="1337" w:type="dxa"/>
          </w:tcPr>
          <w:p>
            <w:pPr>
              <w:snapToGrid w:val="0"/>
              <w:spacing w:line="0" w:lineRule="atLeast"/>
              <w:jc w:val="left"/>
              <w:rPr>
                <w:color w:val="000000" w:themeColor="text1"/>
                <w:sz w:val="22"/>
                <w:szCs w:val="22"/>
              </w:rPr>
            </w:pPr>
            <w:r>
              <w:rPr>
                <w:rFonts w:hint="eastAsia"/>
                <w:color w:val="000000" w:themeColor="text1"/>
                <w:sz w:val="22"/>
                <w:szCs w:val="22"/>
              </w:rPr>
              <w:t>FSMS</w:t>
            </w:r>
          </w:p>
        </w:tc>
        <w:tc>
          <w:tcPr>
            <w:tcW w:w="3676" w:type="dxa"/>
            <w:gridSpan w:val="3"/>
          </w:tcPr>
          <w:p>
            <w:pPr>
              <w:snapToGrid w:val="0"/>
              <w:spacing w:line="0" w:lineRule="atLeast"/>
              <w:jc w:val="left"/>
              <w:rPr>
                <w:color w:val="000000" w:themeColor="text1"/>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color w:val="000000" w:themeColor="text1"/>
                <w:sz w:val="22"/>
                <w:szCs w:val="16"/>
              </w:rPr>
            </w:pPr>
          </w:p>
        </w:tc>
        <w:tc>
          <w:tcPr>
            <w:tcW w:w="1337" w:type="dxa"/>
          </w:tcPr>
          <w:p>
            <w:pPr>
              <w:snapToGrid w:val="0"/>
              <w:spacing w:line="0" w:lineRule="atLeast"/>
              <w:jc w:val="left"/>
              <w:rPr>
                <w:color w:val="000000" w:themeColor="text1"/>
                <w:sz w:val="22"/>
                <w:szCs w:val="22"/>
              </w:rPr>
            </w:pPr>
            <w:r>
              <w:rPr>
                <w:rFonts w:hint="eastAsia"/>
                <w:color w:val="000000" w:themeColor="text1"/>
                <w:sz w:val="22"/>
                <w:szCs w:val="22"/>
              </w:rPr>
              <w:t>HACCP</w:t>
            </w:r>
          </w:p>
        </w:tc>
        <w:tc>
          <w:tcPr>
            <w:tcW w:w="3676" w:type="dxa"/>
            <w:gridSpan w:val="3"/>
          </w:tcPr>
          <w:p>
            <w:pPr>
              <w:snapToGrid w:val="0"/>
              <w:spacing w:line="0" w:lineRule="atLeast"/>
              <w:jc w:val="left"/>
              <w:rPr>
                <w:color w:val="000000" w:themeColor="text1"/>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sz w:val="22"/>
                <w:szCs w:val="22"/>
              </w:rPr>
            </w:pPr>
            <w:bookmarkStart w:id="21" w:name="_GoBack"/>
            <w:r>
              <w:rPr>
                <w:rFonts w:hint="eastAsia" w:eastAsia="宋体" w:cs="Arial"/>
                <w:b/>
                <w:bCs/>
                <w:sz w:val="22"/>
                <w:szCs w:val="16"/>
                <w:lang w:eastAsia="zh-CN"/>
              </w:rPr>
              <w:drawing>
                <wp:anchor distT="0" distB="0" distL="114300" distR="114300" simplePos="0" relativeHeight="251659264" behindDoc="0" locked="0" layoutInCell="1" allowOverlap="1">
                  <wp:simplePos x="0" y="0"/>
                  <wp:positionH relativeFrom="column">
                    <wp:posOffset>-583565</wp:posOffset>
                  </wp:positionH>
                  <wp:positionV relativeFrom="paragraph">
                    <wp:posOffset>-838835</wp:posOffset>
                  </wp:positionV>
                  <wp:extent cx="7312025" cy="10333990"/>
                  <wp:effectExtent l="0" t="0" r="3175" b="3810"/>
                  <wp:wrapNone/>
                  <wp:docPr id="1" name="图片 1" descr="二阶段_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二阶段_12"/>
                          <pic:cNvPicPr>
                            <a:picLocks noChangeAspect="1"/>
                          </pic:cNvPicPr>
                        </pic:nvPicPr>
                        <pic:blipFill>
                          <a:blip r:embed="rId5"/>
                          <a:stretch>
                            <a:fillRect/>
                          </a:stretch>
                        </pic:blipFill>
                        <pic:spPr>
                          <a:xfrm>
                            <a:off x="0" y="0"/>
                            <a:ext cx="7312025" cy="10333990"/>
                          </a:xfrm>
                          <a:prstGeom prst="rect">
                            <a:avLst/>
                          </a:prstGeom>
                        </pic:spPr>
                      </pic:pic>
                    </a:graphicData>
                  </a:graphic>
                </wp:anchor>
              </w:drawing>
            </w:r>
            <w:bookmarkEnd w:id="21"/>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cs="Arial"/>
                <w:b/>
                <w:bCs/>
                <w:sz w:val="22"/>
                <w:szCs w:val="16"/>
              </w:rPr>
            </w:pPr>
            <w:r>
              <w:rPr>
                <w:rFonts w:hint="eastAsia" w:cs="Arial"/>
                <w:b/>
                <w:bCs/>
                <w:sz w:val="22"/>
                <w:szCs w:val="16"/>
              </w:rPr>
              <w:t>受审核方签章</w:t>
            </w:r>
          </w:p>
        </w:tc>
        <w:tc>
          <w:tcPr>
            <w:tcW w:w="5040" w:type="dxa"/>
            <w:gridSpan w:val="3"/>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hint="eastAsia" w:eastAsia="宋体" w:cs="Arial"/>
                <w:b/>
                <w:bCs/>
                <w:sz w:val="22"/>
                <w:szCs w:val="16"/>
                <w:lang w:eastAsia="zh-CN"/>
              </w:rPr>
            </w:pPr>
          </w:p>
          <w:p>
            <w:pPr>
              <w:snapToGrid w:val="0"/>
              <w:spacing w:line="0" w:lineRule="atLeast"/>
              <w:jc w:val="left"/>
              <w:rPr>
                <w:rFonts w:cs="Arial"/>
                <w:b/>
                <w:bCs/>
                <w:sz w:val="22"/>
                <w:szCs w:val="16"/>
              </w:rPr>
            </w:pPr>
          </w:p>
        </w:tc>
        <w:tc>
          <w:tcPr>
            <w:tcW w:w="1370" w:type="dxa"/>
          </w:tcPr>
          <w:p>
            <w:pPr>
              <w:snapToGrid w:val="0"/>
              <w:spacing w:line="0" w:lineRule="atLeast"/>
              <w:jc w:val="left"/>
              <w:rPr>
                <w:sz w:val="22"/>
                <w:szCs w:val="22"/>
              </w:rPr>
            </w:pPr>
            <w:r>
              <w:rPr>
                <w:rFonts w:hint="eastAsia"/>
                <w:sz w:val="22"/>
                <w:szCs w:val="18"/>
              </w:rPr>
              <w:t>审核组长签字</w:t>
            </w:r>
          </w:p>
        </w:tc>
        <w:tc>
          <w:tcPr>
            <w:tcW w:w="1976" w:type="dxa"/>
          </w:tcPr>
          <w:p>
            <w:pPr>
              <w:snapToGrid w:val="0"/>
              <w:spacing w:line="0" w:lineRule="atLeast"/>
              <w:jc w:val="left"/>
              <w:rPr>
                <w:sz w:val="22"/>
                <w:szCs w:val="22"/>
              </w:rPr>
            </w:pPr>
          </w:p>
        </w:tc>
      </w:tr>
    </w:tbl>
    <w:p>
      <w:pPr>
        <w:snapToGrid w:val="0"/>
        <w:spacing w:line="0" w:lineRule="atLeast"/>
        <w:jc w:val="center"/>
        <w:rPr>
          <w:szCs w:val="24"/>
        </w:rPr>
      </w:pPr>
    </w:p>
    <w:p>
      <w:pPr>
        <w:snapToGrid w:val="0"/>
        <w:spacing w:line="0" w:lineRule="atLeast"/>
        <w:rPr>
          <w:lang w:val="en-GB"/>
        </w:rPr>
      </w:pPr>
      <w:r>
        <w:rPr>
          <w:rFonts w:hint="eastAsia"/>
        </w:rPr>
        <w:t>附件1：</w:t>
      </w:r>
      <w:r>
        <w:rPr>
          <w:rFonts w:hint="eastAsia"/>
          <w:lang w:val="en-GB"/>
        </w:rPr>
        <w:t>用于多场所认证项目（</w:t>
      </w:r>
      <w:r>
        <w:rPr>
          <w:rFonts w:hint="eastAsia"/>
        </w:rPr>
        <w:t>分证书</w:t>
      </w:r>
      <w:r>
        <w:rPr>
          <w:rFonts w:hint="eastAsia"/>
          <w:lang w:val="en-GB"/>
        </w:rPr>
        <w:t>）</w:t>
      </w:r>
    </w:p>
    <w:p>
      <w:pPr>
        <w:snapToGrid w:val="0"/>
        <w:spacing w:line="0" w:lineRule="atLeast"/>
        <w:rPr>
          <w:lang w:val="en-GB"/>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
        <w:gridCol w:w="3088"/>
        <w:gridCol w:w="1512"/>
        <w:gridCol w:w="1120"/>
        <w:gridCol w:w="33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 w:type="dxa"/>
            <w:vAlign w:val="center"/>
          </w:tcPr>
          <w:p>
            <w:pPr>
              <w:jc w:val="left"/>
              <w:rPr>
                <w:b/>
                <w:bCs/>
                <w:sz w:val="22"/>
                <w:szCs w:val="22"/>
                <w:lang w:val="en-GB"/>
              </w:rPr>
            </w:pPr>
            <w:r>
              <w:rPr>
                <w:rFonts w:hint="eastAsia"/>
                <w:b/>
                <w:bCs/>
                <w:sz w:val="22"/>
                <w:szCs w:val="22"/>
                <w:lang w:val="en-GB"/>
              </w:rPr>
              <w:t>分证书</w:t>
            </w:r>
          </w:p>
          <w:p>
            <w:pPr>
              <w:jc w:val="left"/>
              <w:rPr>
                <w:b/>
                <w:bCs/>
                <w:sz w:val="22"/>
                <w:szCs w:val="22"/>
              </w:rPr>
            </w:pPr>
            <w:r>
              <w:rPr>
                <w:b/>
                <w:bCs/>
                <w:sz w:val="22"/>
                <w:szCs w:val="22"/>
                <w:lang w:val="en-GB"/>
              </w:rPr>
              <w:t>Sub-cert</w:t>
            </w:r>
          </w:p>
        </w:tc>
        <w:tc>
          <w:tcPr>
            <w:tcW w:w="3088" w:type="dxa"/>
            <w:vAlign w:val="center"/>
          </w:tcPr>
          <w:p>
            <w:pPr>
              <w:rPr>
                <w:b/>
                <w:bCs/>
                <w:sz w:val="22"/>
                <w:szCs w:val="22"/>
                <w:lang w:val="en-GB"/>
              </w:rPr>
            </w:pPr>
            <w:r>
              <w:rPr>
                <w:rFonts w:hint="eastAsia"/>
                <w:b/>
                <w:bCs/>
                <w:sz w:val="22"/>
                <w:szCs w:val="22"/>
                <w:lang w:val="en-GB"/>
              </w:rPr>
              <w:t>公司名称、注册地址及经营地址:</w:t>
            </w:r>
          </w:p>
          <w:p>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pPr>
              <w:rPr>
                <w:b/>
                <w:bCs/>
                <w:sz w:val="22"/>
                <w:szCs w:val="22"/>
                <w:lang w:val="en-GB"/>
              </w:rPr>
            </w:pPr>
            <w:r>
              <w:rPr>
                <w:rFonts w:hint="eastAsia"/>
                <w:b/>
                <w:bCs/>
                <w:sz w:val="22"/>
                <w:szCs w:val="22"/>
                <w:lang w:val="en-GB"/>
              </w:rPr>
              <w:t>组织机构代码</w:t>
            </w:r>
          </w:p>
          <w:p>
            <w:pPr>
              <w:rPr>
                <w:b/>
                <w:bCs/>
                <w:sz w:val="22"/>
                <w:szCs w:val="22"/>
              </w:rPr>
            </w:pPr>
            <w:r>
              <w:rPr>
                <w:rFonts w:hint="eastAsia"/>
                <w:b/>
                <w:bCs/>
                <w:sz w:val="22"/>
                <w:szCs w:val="22"/>
                <w:lang w:val="en-GB"/>
              </w:rPr>
              <w:t>Organization code</w:t>
            </w:r>
          </w:p>
        </w:tc>
        <w:tc>
          <w:tcPr>
            <w:tcW w:w="4466" w:type="dxa"/>
            <w:gridSpan w:val="2"/>
            <w:vAlign w:val="center"/>
          </w:tcPr>
          <w:p>
            <w:pPr>
              <w:rPr>
                <w:b/>
                <w:bCs/>
                <w:sz w:val="22"/>
                <w:szCs w:val="22"/>
                <w:lang w:val="en-GB"/>
              </w:rPr>
            </w:pPr>
            <w:r>
              <w:rPr>
                <w:rFonts w:hint="eastAsia"/>
                <w:b/>
                <w:bCs/>
                <w:sz w:val="22"/>
                <w:szCs w:val="22"/>
                <w:lang w:val="en-GB"/>
              </w:rPr>
              <w:t>认证范围</w:t>
            </w:r>
          </w:p>
          <w:p>
            <w:pPr>
              <w:rPr>
                <w:b/>
                <w:bCs/>
                <w:sz w:val="22"/>
                <w:szCs w:val="22"/>
              </w:rPr>
            </w:pPr>
            <w:r>
              <w:rPr>
                <w:b/>
                <w:bCs/>
                <w:sz w:val="22"/>
                <w:szCs w:val="22"/>
                <w:lang w:val="en-GB"/>
              </w:rPr>
              <w:t>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rPr>
        <w:tc>
          <w:tcPr>
            <w:tcW w:w="896" w:type="dxa"/>
            <w:vMerge w:val="restart"/>
          </w:tcPr>
          <w:p>
            <w:pPr>
              <w:snapToGrid w:val="0"/>
              <w:spacing w:line="0" w:lineRule="atLeast"/>
              <w:rPr>
                <w:sz w:val="22"/>
                <w:szCs w:val="22"/>
              </w:rPr>
            </w:pPr>
            <w:r>
              <w:rPr>
                <w:rFonts w:hint="eastAsia"/>
                <w:sz w:val="22"/>
                <w:szCs w:val="22"/>
              </w:rPr>
              <w:t>01</w:t>
            </w:r>
          </w:p>
        </w:tc>
        <w:tc>
          <w:tcPr>
            <w:tcW w:w="3088" w:type="dxa"/>
          </w:tcPr>
          <w:p>
            <w:pPr>
              <w:pStyle w:val="16"/>
              <w:spacing w:before="0" w:after="0"/>
              <w:jc w:val="left"/>
              <w:rPr>
                <w:rFonts w:cs="Arial"/>
                <w:b/>
                <w:bCs/>
                <w:sz w:val="22"/>
                <w:szCs w:val="22"/>
              </w:rPr>
            </w:pPr>
            <w:r>
              <w:rPr>
                <w:rFonts w:hint="eastAsia" w:cs="Arial"/>
                <w:b/>
                <w:bCs/>
                <w:sz w:val="22"/>
                <w:szCs w:val="22"/>
              </w:rPr>
              <w:t>公司名称 - 总部</w:t>
            </w:r>
          </w:p>
          <w:p>
            <w:pPr>
              <w:pStyle w:val="16"/>
              <w:spacing w:before="0" w:after="0"/>
              <w:jc w:val="left"/>
              <w:rPr>
                <w:rFonts w:cs="Arial"/>
                <w:b/>
                <w:bCs/>
                <w:sz w:val="22"/>
                <w:szCs w:val="22"/>
              </w:rPr>
            </w:pPr>
            <w:r>
              <w:rPr>
                <w:rFonts w:hint="eastAsia" w:cs="Arial"/>
                <w:b/>
                <w:bCs/>
                <w:sz w:val="22"/>
                <w:szCs w:val="22"/>
              </w:rPr>
              <w:t>注册地址：</w:t>
            </w:r>
          </w:p>
          <w:p>
            <w:pPr>
              <w:snapToGrid w:val="0"/>
              <w:spacing w:line="0" w:lineRule="atLeast"/>
              <w:rPr>
                <w:sz w:val="22"/>
                <w:szCs w:val="22"/>
              </w:rPr>
            </w:pPr>
            <w:r>
              <w:rPr>
                <w:rFonts w:hint="eastAsia" w:cs="Arial"/>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896" w:type="dxa"/>
            <w:vMerge w:val="continue"/>
          </w:tcPr>
          <w:p>
            <w:pPr>
              <w:snapToGrid w:val="0"/>
              <w:spacing w:line="0" w:lineRule="atLeast"/>
              <w:rPr>
                <w:sz w:val="22"/>
                <w:szCs w:val="22"/>
              </w:rPr>
            </w:pPr>
          </w:p>
        </w:tc>
        <w:tc>
          <w:tcPr>
            <w:tcW w:w="3088" w:type="dxa"/>
          </w:tcPr>
          <w:p>
            <w:pPr>
              <w:pStyle w:val="16"/>
              <w:spacing w:before="0" w:after="0"/>
              <w:jc w:val="left"/>
              <w:rPr>
                <w:rFonts w:cs="Arial"/>
                <w:b/>
                <w:bCs/>
                <w:sz w:val="22"/>
                <w:szCs w:val="22"/>
              </w:rPr>
            </w:pPr>
            <w:r>
              <w:rPr>
                <w:rFonts w:cs="Arial"/>
                <w:b/>
                <w:bCs/>
                <w:sz w:val="22"/>
                <w:szCs w:val="22"/>
              </w:rPr>
              <w:t>Company Name – HQ</w:t>
            </w:r>
          </w:p>
          <w:p>
            <w:pPr>
              <w:pStyle w:val="16"/>
              <w:spacing w:before="0" w:after="0"/>
              <w:jc w:val="left"/>
              <w:rPr>
                <w:rFonts w:cs="Arial"/>
                <w:b/>
                <w:bCs/>
                <w:sz w:val="22"/>
                <w:szCs w:val="22"/>
              </w:rPr>
            </w:pPr>
            <w:r>
              <w:rPr>
                <w:rFonts w:cs="Arial"/>
                <w:b/>
                <w:bCs/>
                <w:sz w:val="22"/>
                <w:szCs w:val="22"/>
              </w:rPr>
              <w:t>Registration Address:</w:t>
            </w:r>
          </w:p>
          <w:p>
            <w:pPr>
              <w:pStyle w:val="16"/>
              <w:spacing w:before="0" w:after="0"/>
              <w:jc w:val="left"/>
              <w:rPr>
                <w:rFonts w:cs="Arial"/>
                <w:b/>
                <w:bCs/>
                <w:sz w:val="22"/>
                <w:szCs w:val="22"/>
              </w:rPr>
            </w:pPr>
            <w:r>
              <w:rPr>
                <w:rFonts w:cs="Arial"/>
                <w:b/>
                <w:bCs/>
                <w:sz w:val="22"/>
                <w:szCs w:val="22"/>
              </w:rPr>
              <w:t>Operation Address:</w:t>
            </w:r>
          </w:p>
        </w:tc>
        <w:tc>
          <w:tcPr>
            <w:tcW w:w="1512" w:type="dxa"/>
            <w:vMerge w:val="continu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896" w:type="dxa"/>
            <w:vMerge w:val="restart"/>
          </w:tcPr>
          <w:p>
            <w:pPr>
              <w:snapToGrid w:val="0"/>
              <w:spacing w:line="0" w:lineRule="atLeast"/>
              <w:rPr>
                <w:sz w:val="22"/>
                <w:szCs w:val="22"/>
              </w:rPr>
            </w:pPr>
            <w:r>
              <w:rPr>
                <w:rFonts w:hint="eastAsia"/>
                <w:sz w:val="22"/>
                <w:szCs w:val="22"/>
              </w:rPr>
              <w:t>02</w:t>
            </w:r>
          </w:p>
        </w:tc>
        <w:tc>
          <w:tcPr>
            <w:tcW w:w="3088" w:type="dxa"/>
          </w:tcPr>
          <w:p>
            <w:pPr>
              <w:pStyle w:val="16"/>
              <w:spacing w:before="0" w:after="0"/>
              <w:jc w:val="left"/>
              <w:rPr>
                <w:rFonts w:cs="Arial"/>
                <w:b/>
                <w:bCs/>
                <w:sz w:val="22"/>
                <w:szCs w:val="22"/>
              </w:rPr>
            </w:pPr>
            <w:r>
              <w:rPr>
                <w:rFonts w:hint="eastAsia" w:cs="Arial"/>
                <w:b/>
                <w:bCs/>
                <w:sz w:val="22"/>
                <w:szCs w:val="22"/>
              </w:rPr>
              <w:t xml:space="preserve">公司名称 </w:t>
            </w:r>
            <w:r>
              <w:rPr>
                <w:rFonts w:cs="Arial"/>
                <w:b/>
                <w:bCs/>
                <w:sz w:val="22"/>
                <w:szCs w:val="22"/>
              </w:rPr>
              <w:t>–</w:t>
            </w:r>
            <w:r>
              <w:rPr>
                <w:rFonts w:hint="eastAsia" w:cs="Arial"/>
                <w:b/>
                <w:bCs/>
                <w:sz w:val="22"/>
                <w:szCs w:val="22"/>
              </w:rPr>
              <w:t xml:space="preserve"> 工厂</w:t>
            </w:r>
          </w:p>
          <w:p>
            <w:pPr>
              <w:pStyle w:val="16"/>
              <w:spacing w:before="0" w:after="0"/>
              <w:jc w:val="left"/>
              <w:rPr>
                <w:rFonts w:cs="Arial"/>
                <w:b/>
                <w:bCs/>
                <w:sz w:val="22"/>
                <w:szCs w:val="22"/>
              </w:rPr>
            </w:pPr>
            <w:r>
              <w:rPr>
                <w:rFonts w:hint="eastAsia" w:cs="Arial"/>
                <w:b/>
                <w:bCs/>
                <w:sz w:val="22"/>
                <w:szCs w:val="22"/>
              </w:rPr>
              <w:t>注册地址：</w:t>
            </w:r>
          </w:p>
          <w:p>
            <w:pPr>
              <w:pStyle w:val="16"/>
              <w:spacing w:before="0" w:after="0"/>
              <w:jc w:val="left"/>
              <w:rPr>
                <w:sz w:val="22"/>
                <w:szCs w:val="22"/>
              </w:rPr>
            </w:pPr>
            <w:r>
              <w:rPr>
                <w:rFonts w:hint="eastAsia" w:cs="Arial"/>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896" w:type="dxa"/>
            <w:vMerge w:val="continue"/>
          </w:tcPr>
          <w:p>
            <w:pPr>
              <w:snapToGrid w:val="0"/>
              <w:spacing w:line="0" w:lineRule="atLeast"/>
              <w:rPr>
                <w:sz w:val="22"/>
                <w:szCs w:val="22"/>
              </w:rPr>
            </w:pPr>
          </w:p>
        </w:tc>
        <w:tc>
          <w:tcPr>
            <w:tcW w:w="3088" w:type="dxa"/>
          </w:tcPr>
          <w:p>
            <w:pPr>
              <w:pStyle w:val="16"/>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pPr>
              <w:pStyle w:val="16"/>
              <w:spacing w:before="0" w:after="0"/>
              <w:jc w:val="left"/>
              <w:rPr>
                <w:rFonts w:cs="Arial"/>
                <w:b/>
                <w:bCs/>
                <w:sz w:val="22"/>
                <w:szCs w:val="22"/>
              </w:rPr>
            </w:pPr>
            <w:r>
              <w:rPr>
                <w:rFonts w:cs="Arial"/>
                <w:b/>
                <w:bCs/>
                <w:sz w:val="22"/>
                <w:szCs w:val="22"/>
              </w:rPr>
              <w:t>Registration Address:</w:t>
            </w:r>
          </w:p>
          <w:p>
            <w:pPr>
              <w:pStyle w:val="16"/>
              <w:spacing w:before="0" w:after="0"/>
              <w:jc w:val="left"/>
              <w:rPr>
                <w:sz w:val="22"/>
                <w:szCs w:val="22"/>
              </w:rPr>
            </w:pPr>
            <w:r>
              <w:rPr>
                <w:rFonts w:cs="Arial"/>
                <w:b/>
                <w:bCs/>
                <w:sz w:val="22"/>
                <w:szCs w:val="22"/>
              </w:rPr>
              <w:t>Operation Address:</w:t>
            </w:r>
          </w:p>
        </w:tc>
        <w:tc>
          <w:tcPr>
            <w:tcW w:w="1512" w:type="dxa"/>
            <w:vMerge w:val="continu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896" w:type="dxa"/>
            <w:vMerge w:val="restart"/>
          </w:tcPr>
          <w:p>
            <w:pPr>
              <w:snapToGrid w:val="0"/>
              <w:spacing w:line="0" w:lineRule="atLeast"/>
              <w:rPr>
                <w:sz w:val="22"/>
                <w:szCs w:val="22"/>
              </w:rPr>
            </w:pPr>
            <w:r>
              <w:rPr>
                <w:rFonts w:hint="eastAsia"/>
                <w:sz w:val="22"/>
                <w:szCs w:val="22"/>
              </w:rPr>
              <w:t>03</w:t>
            </w:r>
          </w:p>
        </w:tc>
        <w:tc>
          <w:tcPr>
            <w:tcW w:w="3088" w:type="dxa"/>
          </w:tcPr>
          <w:p>
            <w:pPr>
              <w:pStyle w:val="16"/>
              <w:spacing w:before="0" w:after="0"/>
              <w:jc w:val="left"/>
              <w:rPr>
                <w:rFonts w:cs="Arial"/>
                <w:b/>
                <w:bCs/>
                <w:sz w:val="22"/>
                <w:szCs w:val="22"/>
              </w:rPr>
            </w:pPr>
            <w:r>
              <w:rPr>
                <w:rFonts w:hint="eastAsia" w:cs="Arial"/>
                <w:b/>
                <w:bCs/>
                <w:sz w:val="22"/>
                <w:szCs w:val="22"/>
              </w:rPr>
              <w:t xml:space="preserve">公司名称 </w:t>
            </w:r>
            <w:r>
              <w:rPr>
                <w:rFonts w:cs="Arial"/>
                <w:b/>
                <w:bCs/>
                <w:sz w:val="22"/>
                <w:szCs w:val="22"/>
              </w:rPr>
              <w:t>–</w:t>
            </w:r>
            <w:r>
              <w:rPr>
                <w:rFonts w:hint="eastAsia" w:cs="Arial"/>
                <w:b/>
                <w:bCs/>
                <w:sz w:val="22"/>
                <w:szCs w:val="22"/>
              </w:rPr>
              <w:t xml:space="preserve"> 销售办公室</w:t>
            </w:r>
          </w:p>
          <w:p>
            <w:pPr>
              <w:pStyle w:val="16"/>
              <w:spacing w:before="0" w:after="0"/>
              <w:jc w:val="left"/>
              <w:rPr>
                <w:rFonts w:cs="Arial"/>
                <w:b/>
                <w:bCs/>
                <w:sz w:val="22"/>
                <w:szCs w:val="22"/>
              </w:rPr>
            </w:pPr>
            <w:r>
              <w:rPr>
                <w:rFonts w:hint="eastAsia" w:cs="Arial"/>
                <w:b/>
                <w:bCs/>
                <w:sz w:val="22"/>
                <w:szCs w:val="22"/>
              </w:rPr>
              <w:t>注册地址：</w:t>
            </w:r>
          </w:p>
          <w:p>
            <w:pPr>
              <w:rPr>
                <w:sz w:val="22"/>
                <w:szCs w:val="22"/>
              </w:rPr>
            </w:pPr>
            <w:r>
              <w:rPr>
                <w:rFonts w:hint="eastAsia" w:cs="Arial"/>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896" w:type="dxa"/>
            <w:vMerge w:val="continue"/>
          </w:tcPr>
          <w:p>
            <w:pPr>
              <w:snapToGrid w:val="0"/>
              <w:spacing w:line="0" w:lineRule="atLeast"/>
              <w:rPr>
                <w:sz w:val="22"/>
                <w:szCs w:val="22"/>
              </w:rPr>
            </w:pPr>
          </w:p>
        </w:tc>
        <w:tc>
          <w:tcPr>
            <w:tcW w:w="3088" w:type="dxa"/>
          </w:tcPr>
          <w:p>
            <w:pPr>
              <w:pStyle w:val="16"/>
              <w:spacing w:before="0" w:after="0"/>
              <w:jc w:val="left"/>
              <w:rPr>
                <w:rFonts w:cs="Arial"/>
                <w:b/>
                <w:bCs/>
                <w:sz w:val="22"/>
                <w:szCs w:val="22"/>
              </w:rPr>
            </w:pPr>
            <w:r>
              <w:rPr>
                <w:rFonts w:cs="Arial"/>
                <w:b/>
                <w:bCs/>
                <w:sz w:val="22"/>
                <w:szCs w:val="22"/>
              </w:rPr>
              <w:t>Company Name – Sales 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pPr>
              <w:pStyle w:val="16"/>
              <w:spacing w:before="0" w:after="0"/>
              <w:jc w:val="left"/>
              <w:rPr>
                <w:rFonts w:cs="Arial"/>
                <w:b/>
                <w:bCs/>
                <w:sz w:val="22"/>
                <w:szCs w:val="22"/>
              </w:rPr>
            </w:pPr>
            <w:r>
              <w:rPr>
                <w:rFonts w:cs="Arial"/>
                <w:b/>
                <w:bCs/>
                <w:sz w:val="22"/>
                <w:szCs w:val="22"/>
              </w:rPr>
              <w:t>Registration Address:</w:t>
            </w:r>
          </w:p>
          <w:p>
            <w:pPr>
              <w:rPr>
                <w:sz w:val="22"/>
                <w:szCs w:val="22"/>
              </w:rPr>
            </w:pPr>
            <w:r>
              <w:rPr>
                <w:rFonts w:cs="Arial"/>
                <w:b/>
                <w:bCs/>
                <w:sz w:val="22"/>
                <w:szCs w:val="22"/>
              </w:rPr>
              <w:t>Operation Address:</w:t>
            </w:r>
          </w:p>
        </w:tc>
        <w:tc>
          <w:tcPr>
            <w:tcW w:w="1512" w:type="dxa"/>
            <w:vMerge w:val="continu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896" w:type="dxa"/>
          </w:tcPr>
          <w:p>
            <w:pPr>
              <w:snapToGrid w:val="0"/>
              <w:spacing w:line="0" w:lineRule="atLeast"/>
              <w:rPr>
                <w:sz w:val="22"/>
                <w:szCs w:val="22"/>
              </w:rPr>
            </w:pPr>
          </w:p>
        </w:tc>
        <w:tc>
          <w:tcPr>
            <w:tcW w:w="3088" w:type="dxa"/>
          </w:tcPr>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tc>
        <w:tc>
          <w:tcPr>
            <w:tcW w:w="1512" w:type="dxa"/>
          </w:tcPr>
          <w:p>
            <w:pPr>
              <w:snapToGrid w:val="0"/>
              <w:spacing w:line="0" w:lineRule="atLeast"/>
              <w:rPr>
                <w:sz w:val="22"/>
                <w:szCs w:val="22"/>
              </w:rPr>
            </w:pPr>
          </w:p>
        </w:tc>
        <w:tc>
          <w:tcPr>
            <w:tcW w:w="1120" w:type="dxa"/>
          </w:tcPr>
          <w:p>
            <w:pPr>
              <w:snapToGrid w:val="0"/>
              <w:spacing w:line="0" w:lineRule="atLeast"/>
              <w:rPr>
                <w:sz w:val="22"/>
                <w:szCs w:val="22"/>
              </w:rPr>
            </w:pP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 w:type="dxa"/>
          </w:tcPr>
          <w:p>
            <w:pPr>
              <w:snapToGrid w:val="0"/>
              <w:spacing w:line="0" w:lineRule="atLeast"/>
              <w:rPr>
                <w:sz w:val="22"/>
                <w:szCs w:val="22"/>
              </w:rPr>
            </w:pPr>
          </w:p>
        </w:tc>
        <w:tc>
          <w:tcPr>
            <w:tcW w:w="3088" w:type="dxa"/>
          </w:tcPr>
          <w:p>
            <w:pPr>
              <w:snapToGrid w:val="0"/>
              <w:spacing w:line="0" w:lineRule="atLeast"/>
              <w:rPr>
                <w:sz w:val="22"/>
                <w:szCs w:val="22"/>
              </w:rPr>
            </w:pPr>
          </w:p>
        </w:tc>
        <w:tc>
          <w:tcPr>
            <w:tcW w:w="1512" w:type="dxa"/>
          </w:tcPr>
          <w:p>
            <w:pPr>
              <w:snapToGrid w:val="0"/>
              <w:spacing w:line="0" w:lineRule="atLeast"/>
              <w:rPr>
                <w:sz w:val="22"/>
                <w:szCs w:val="22"/>
              </w:rPr>
            </w:pPr>
          </w:p>
        </w:tc>
        <w:tc>
          <w:tcPr>
            <w:tcW w:w="1120" w:type="dxa"/>
          </w:tcPr>
          <w:p>
            <w:pPr>
              <w:snapToGrid w:val="0"/>
              <w:spacing w:line="0" w:lineRule="atLeast"/>
              <w:rPr>
                <w:sz w:val="22"/>
                <w:szCs w:val="22"/>
              </w:rPr>
            </w:pP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5"/>
          </w:tcPr>
          <w:p>
            <w:pPr>
              <w:ind w:firstLine="709"/>
              <w:jc w:val="center"/>
              <w:rPr>
                <w:b/>
                <w:bCs/>
                <w:sz w:val="22"/>
                <w:szCs w:val="22"/>
                <w:lang w:val="en-GB"/>
              </w:rPr>
            </w:pPr>
            <w:r>
              <w:rPr>
                <w:b/>
                <w:bCs/>
                <w:sz w:val="22"/>
                <w:szCs w:val="22"/>
                <w:lang w:val="en-GB"/>
              </w:rPr>
              <w:t>1 line for each location - add more pages if needed (put cursor in last box and press “Tab”)</w:t>
            </w:r>
          </w:p>
          <w:p>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1行-如果需要，添加更多页面（将光标放在最后一个框中并按“Tab”）</w:t>
            </w:r>
          </w:p>
          <w:p>
            <w:pPr>
              <w:snapToGrid w:val="0"/>
              <w:spacing w:line="0" w:lineRule="atLeast"/>
              <w:rPr>
                <w:sz w:val="22"/>
                <w:szCs w:val="22"/>
              </w:rPr>
            </w:pPr>
          </w:p>
        </w:tc>
      </w:tr>
    </w:tbl>
    <w:p>
      <w:pPr>
        <w:snapToGrid w:val="0"/>
        <w:spacing w:line="0" w:lineRule="atLeast"/>
      </w:pPr>
    </w:p>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pPr>
      <w:r>
        <w:rPr>
          <w:rFonts w:hint="eastAsia"/>
        </w:rPr>
        <w:t>7、翻译费用可直接与审核费用一同汇入我公司账户或由审核组长从现场带回。</w:t>
      </w:r>
    </w:p>
    <w:p>
      <w:pPr>
        <w:pStyle w:val="2"/>
        <w:spacing w:line="0" w:lineRule="atLeast"/>
        <w:ind w:firstLine="0"/>
        <w:rPr>
          <w:b/>
          <w:color w:val="000000" w:themeColor="text1"/>
          <w:sz w:val="18"/>
          <w:szCs w:val="18"/>
          <w:lang w:val="en-GB"/>
        </w:rPr>
      </w:pPr>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1312"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389.15pt;margin-top:10.7pt;height:20.2pt;width:87.9pt;z-index:251660288;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2EC4520"/>
    <w:rsid w:val="4D34348B"/>
    <w:rsid w:val="72067860"/>
    <w:rsid w:val="79D500F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1305</Words>
  <Characters>2301</Characters>
  <Lines>18</Lines>
  <Paragraphs>5</Paragraphs>
  <TotalTime>7</TotalTime>
  <ScaleCrop>false</ScaleCrop>
  <LinksUpToDate>false</LinksUpToDate>
  <CharactersWithSpaces>2540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LIL</cp:lastModifiedBy>
  <cp:lastPrinted>2019-05-13T03:13:00Z</cp:lastPrinted>
  <dcterms:modified xsi:type="dcterms:W3CDTF">2022-03-02T06:55:37Z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2052-11.1.0.11365</vt:lpwstr>
  </property>
</Properties>
</file>