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910"/>
        <w:gridCol w:w="1765"/>
        <w:gridCol w:w="86"/>
        <w:gridCol w:w="679"/>
        <w:gridCol w:w="650"/>
        <w:gridCol w:w="609"/>
        <w:gridCol w:w="541"/>
        <w:gridCol w:w="420"/>
        <w:gridCol w:w="290"/>
        <w:gridCol w:w="110"/>
        <w:gridCol w:w="480"/>
        <w:gridCol w:w="5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沧州安百电力器材有限公司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河北省沧州市肃宁县尚村镇柳科村村南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河北省沧州市肃宁县尚村镇柳科村村南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王东朋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13482912888</w:t>
            </w:r>
            <w:bookmarkEnd w:id="4"/>
          </w:p>
        </w:tc>
        <w:tc>
          <w:tcPr>
            <w:tcW w:w="5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575565516@qq.com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510" w:type="dxa"/>
            <w:gridSpan w:val="5"/>
            <w:vAlign w:val="center"/>
          </w:tcPr>
          <w:p>
            <w:bookmarkStart w:id="7" w:name="管代电话"/>
            <w:bookmarkEnd w:id="7"/>
          </w:p>
        </w:tc>
        <w:tc>
          <w:tcPr>
            <w:tcW w:w="5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0094-2022-QEO</w:t>
            </w:r>
            <w:bookmarkEnd w:id="8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00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279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Q：标识牌、围栏、防鸟设备、验电器、接地操作杆、携带型短路接地线的生产和销售；五金材料、安全带、安全帽、绝缘靴、绝缘手套的销售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21"/>
          </w:p>
        </w:tc>
        <w:tc>
          <w:tcPr>
            <w:tcW w:w="7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Q：17.12.03;17.12.05;19.05.01;19.11.02;29.12.00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E：17.12.03;17.12.05;19.05.01;19.11.02;29.12.00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O：17.12.03;17.12.05;19.05.01;19.11.02;29.12.00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2022年02月25日 下午至2022年02月27日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李俐</w:t>
            </w:r>
          </w:p>
          <w:p>
            <w:pPr>
              <w:pStyle w:val="2"/>
              <w:ind w:firstLine="220" w:firstLineChars="100"/>
              <w:jc w:val="both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Q:17.12.03,17.12.05,19.05.01,19.11.02,29.12.00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E:17.12.03,17.12.05,19.05.01,19.11.02,29.12.00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O:17.12.03,17.12.05,19.05.01,19.11.02,29.12.00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张星</w:t>
            </w:r>
          </w:p>
          <w:p>
            <w:pPr>
              <w:pStyle w:val="2"/>
              <w:jc w:val="center"/>
              <w:rPr>
                <w:lang w:val="de-DE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Q:17.12.03,17.12.05,19.05.01,19.11.02,29.12.00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E:17.12.03,17.12.05,19.05.01,19.11.02,29.12.00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余家龙</w:t>
            </w:r>
          </w:p>
          <w:p>
            <w:pPr>
              <w:pStyle w:val="2"/>
              <w:jc w:val="center"/>
              <w:rPr>
                <w:rFonts w:hint="eastAsia" w:eastAsia="宋体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70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30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0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03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vAlign w:val="center"/>
          </w:tcPr>
          <w:p/>
        </w:tc>
        <w:tc>
          <w:tcPr>
            <w:tcW w:w="1430" w:type="dxa"/>
            <w:gridSpan w:val="4"/>
            <w:vAlign w:val="center"/>
          </w:tcPr>
          <w:p/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36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8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2.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2.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2022</w:t>
            </w:r>
            <w:r>
              <w:rPr>
                <w:rFonts w:hint="eastAsia"/>
                <w:sz w:val="20"/>
                <w:lang w:eastAsia="zh-CN"/>
              </w:rPr>
              <w:t>.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2.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  <w:lang w:val="en-US" w:eastAsia="zh-CN"/>
              </w:rPr>
              <w:t>4</w:t>
            </w:r>
          </w:p>
        </w:tc>
      </w:tr>
    </w:tbl>
    <w:p>
      <w:r>
        <w:rPr>
          <w:sz w:val="20"/>
          <w:lang w:val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-614680</wp:posOffset>
            </wp:positionV>
            <wp:extent cx="7354570" cy="10471150"/>
            <wp:effectExtent l="0" t="0" r="11430" b="6350"/>
            <wp:wrapNone/>
            <wp:docPr id="1" name="图片 1" descr="扫描全能王 2022-02-26 15.3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6 15.33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4570" cy="1047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8"/>
        <w:tblpPr w:leftFromText="180" w:rightFromText="180" w:vertAnchor="text" w:horzAnchor="page" w:tblpX="892" w:tblpY="39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420"/>
        <w:gridCol w:w="1034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431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Q/E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确定管理体系的范围、4.4质量/环境管理体系及其过程、5.1领导作用和承诺、5.2质量/环境方针、5.3组织的岗位、职责和权限、5.4工作人员的协商和参与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(O)、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 环境目标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6.2职业健康安全目标及其实现的策划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6.3变更的策划、7.1.1（E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7.1）资源总则、7.3意识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7.4.3外部沟通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9.1.1总则 、9.3管理评审、10改进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 5.3组织的岗位、职责和权限、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6.1应对风险和机遇的措施、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7.1.2人员、7.1.6组织知识、7.2能力、7.3意识、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、7.5.3形成文件的信息的控制、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8.2 产品和服务的要求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8.4外部提供过程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、8.5.3顾客或外部供方的财产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8.5.5交付后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顾客满意度调查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 xml:space="preserve">、9.1.3分析与评价、10.2不合格和纠正措施， 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E/O: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6.1.2环境因素/危险源的辨识与评价、6.1.3合规义务、6.1.4措施的策划、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6.2.1环境/职业健康安全目标、6.2.2实现环境/职业健康安全目标措施的策划7.2能力、7.3意识、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7.4沟通（信息交流7.4.1总则、7.4.2内部信息、7.4.3外部信息交流）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7.5.1形成文件的信息总则、7.5.2形成文件的信息的创建和更新、7.5.3形成文件的信息的控制、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8.1运行策划和控制、8.2应急准备和响应、9.1监视、测量、分析和评价（9.1.1总则、9.1.2合规性评价）、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9.2内部审核、10.2不符合/事件和纠正措施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A：</w:t>
            </w:r>
            <w:bookmarkStart w:id="33" w:name="_GoBack"/>
            <w:bookmarkEnd w:id="33"/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QEO:5.3、6.1、6.2、9.1.1、9.2、10.2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Q：8.1、8.2、8.4、8.5.3、8.5.4、8.5.5、9.1.2；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EO：6.1.2、8.1、8.2、9.1.1、9.1.2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O：6.1.3、6.1.4、6.2.1、6.2.2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B：QE: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7.1.2、7.1.6、7.2、7.3、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7.5.1、7.5.2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、7.5.3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 8.5.1、9.1.3</w:t>
            </w:r>
          </w:p>
          <w:p>
            <w:pPr>
              <w:adjustRightInd w:val="0"/>
              <w:snapToGrid w:val="0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 xml:space="preserve">    E：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6.1.2、6.1.3、6.1.4、6.2.1、6.2.2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（12:00-13:00午餐、休息）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继续</w:t>
            </w:r>
            <w:r>
              <w:rPr>
                <w:rFonts w:hint="default"/>
                <w:lang w:val="en-US" w:eastAsia="zh-CN"/>
              </w:rPr>
              <w:t>25</w:t>
            </w:r>
            <w:r>
              <w:rPr>
                <w:rFonts w:hint="eastAsia"/>
                <w:lang w:val="en-US" w:eastAsia="zh-CN"/>
              </w:rPr>
              <w:t>日审核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生产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技术部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:5.3组织的岗位、职责和权限、6.2质量目标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7.1.3基础设施、7.1.4过程运行环境、7.1.5监视和测量资源、8.1运行策划和控制、8.3产品和服务的设计和开发不适用确认、8.5.1生产和服务提供的控制、8.5.2产品标识和可追朔性、8.5.3顾客或外部供方的财产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8.5.6更改控制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8.6产品和服务的放行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8.7不合格输出的控制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6.1.2环境因素辨识与评价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6.1.4措施的策划、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8.1运行策划和控制、8.2应急准备和响应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A :QEO：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6.2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8.3、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8.6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 xml:space="preserve">   EO：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6.1.4、8.1、8.2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default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: Q：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8.7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4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cs="Arial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02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20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</w:p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034" w:type="dxa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相关部门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right="-192" w:rightChars="-8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补充相关条款审核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ind w:right="-192" w:rightChars="-80" w:firstLine="21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431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审核组内部会议；与企业领导层沟通；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6431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96" w:type="dxa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全体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96D08"/>
    <w:rsid w:val="0ABA1CA5"/>
    <w:rsid w:val="1F537EEB"/>
    <w:rsid w:val="229046C6"/>
    <w:rsid w:val="251A3BCF"/>
    <w:rsid w:val="2DAB07A9"/>
    <w:rsid w:val="330476DB"/>
    <w:rsid w:val="6E2004E9"/>
    <w:rsid w:val="73BB0416"/>
    <w:rsid w:val="73D03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2343</Words>
  <Characters>3881</Characters>
  <Lines>37</Lines>
  <Paragraphs>10</Paragraphs>
  <TotalTime>1</TotalTime>
  <ScaleCrop>false</ScaleCrop>
  <LinksUpToDate>false</LinksUpToDate>
  <CharactersWithSpaces>3965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2022-03-02T01:52:47Z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