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常州二维暖烯科技有限公司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常州二维暖烯科技有限公司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常州西太湖科技产业园兰香路8号12号楼二楼东边厂房</w:t>
            </w:r>
            <w:bookmarkEnd w:id="6"/>
          </w:p>
        </w:tc>
        <w:tc>
          <w:tcPr>
            <w:tcW w:w="1242" w:type="dxa"/>
            <w:vMerge w:val="restart"/>
            <w:vAlign w:val="center"/>
          </w:tcPr>
          <w:p>
            <w:r>
              <w:rPr>
                <w:rFonts w:hint="eastAsia"/>
              </w:rPr>
              <w:t>邮编</w:t>
            </w:r>
          </w:p>
        </w:tc>
        <w:tc>
          <w:tcPr>
            <w:tcW w:w="1771" w:type="dxa"/>
          </w:tcPr>
          <w:p>
            <w:bookmarkStart w:id="7" w:name="注册邮编"/>
            <w:r>
              <w:t>213159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江苏省常州西太湖科技产业园兰香路8号</w:t>
            </w:r>
            <w:bookmarkEnd w:id="8"/>
          </w:p>
        </w:tc>
        <w:tc>
          <w:tcPr>
            <w:tcW w:w="1242" w:type="dxa"/>
            <w:vMerge w:val="continue"/>
            <w:vAlign w:val="center"/>
          </w:tcPr>
          <w:p/>
        </w:tc>
        <w:tc>
          <w:tcPr>
            <w:tcW w:w="1771" w:type="dxa"/>
          </w:tcPr>
          <w:p>
            <w:bookmarkStart w:id="9" w:name="办公邮编"/>
            <w:r>
              <w:t>213159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肖虎</w:t>
            </w:r>
            <w:bookmarkEnd w:id="10"/>
          </w:p>
        </w:tc>
        <w:tc>
          <w:tcPr>
            <w:tcW w:w="1313" w:type="dxa"/>
            <w:vAlign w:val="center"/>
          </w:tcPr>
          <w:p>
            <w:r>
              <w:rPr>
                <w:rFonts w:hint="eastAsia"/>
              </w:rPr>
              <w:t>电话.</w:t>
            </w:r>
          </w:p>
        </w:tc>
        <w:tc>
          <w:tcPr>
            <w:tcW w:w="2180" w:type="dxa"/>
            <w:vAlign w:val="center"/>
          </w:tcPr>
          <w:p>
            <w:bookmarkStart w:id="11" w:name="联系人电话"/>
            <w:r>
              <w:t>17712335039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金虎</w:t>
            </w:r>
            <w:bookmarkEnd w:id="13"/>
          </w:p>
        </w:tc>
        <w:tc>
          <w:tcPr>
            <w:tcW w:w="1313" w:type="dxa"/>
            <w:vAlign w:val="center"/>
          </w:tcPr>
          <w:p>
            <w:r>
              <w:rPr>
                <w:rFonts w:hint="eastAsia"/>
              </w:rPr>
              <w:t>管理者代表</w:t>
            </w:r>
          </w:p>
        </w:tc>
        <w:tc>
          <w:tcPr>
            <w:tcW w:w="2180" w:type="dxa"/>
          </w:tcPr>
          <w:p>
            <w:bookmarkStart w:id="14" w:name="管理者代表"/>
            <w:r>
              <w:t>肖虎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b/>
                <w:bCs/>
                <w:color w:val="000000"/>
              </w:rPr>
            </w:pPr>
            <w:r>
              <w:rPr>
                <w:rFonts w:hint="eastAsia"/>
                <w:b/>
                <w:bCs/>
                <w:color w:val="000000"/>
              </w:rPr>
              <w:t>石墨烯导电复合加热膜产品流程：</w:t>
            </w:r>
          </w:p>
          <w:p>
            <w:r>
              <w:rPr>
                <w:rFonts w:hint="eastAsia"/>
                <w:color w:val="000000"/>
              </w:rPr>
              <w:t>涂布-分切-老化-丝印-烘烤-光刻-贴电极-贴合正背保护膜-冲孔-铆接导线-端子绝缘-功能测试-外观检验-入库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2022年04月01日 上午至2022年04月01日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江苏省常州西太湖科技产业园兰香路8号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石墨烯导电复合加热膜的设计、生产和销售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14.02.01;15.06.02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rFonts w:hint="eastAsia" w:ascii="宋体" w:hAnsi="宋体" w:eastAsia="宋体" w:cs="Times New Roman"/>
                <w:color w:val="000000"/>
                <w:szCs w:val="21"/>
                <w:lang w:val="de-DE" w:eastAsia="ja-JP"/>
              </w:rPr>
            </w:pPr>
            <w:r>
              <w:rPr>
                <w:rFonts w:hint="eastAsia" w:ascii="宋体" w:hAnsi="宋体" w:eastAsia="宋体" w:cs="Times New Roman"/>
                <w:color w:val="000000"/>
                <w:szCs w:val="21"/>
                <w:lang w:val="de-DE" w:eastAsia="ja-JP"/>
              </w:rPr>
              <w:t xml:space="preserve">常州二维暖烯科技有限公司 </w:t>
            </w:r>
          </w:p>
          <w:p>
            <w:pPr>
              <w:spacing w:before="40" w:after="40"/>
              <w:rPr>
                <w:lang w:val="de-DE" w:eastAsia="ja-JP"/>
              </w:rPr>
            </w:pPr>
            <w:r>
              <w:rPr>
                <w:rFonts w:hint="eastAsia"/>
                <w:color w:val="000000"/>
              </w:rPr>
              <w:t>常州西太湖科技产业园兰香路8号12号楼二楼东边厂房</w:t>
            </w:r>
          </w:p>
        </w:tc>
        <w:tc>
          <w:tcPr>
            <w:tcW w:w="2267" w:type="dxa"/>
            <w:vAlign w:val="top"/>
          </w:tcPr>
          <w:p>
            <w:pPr>
              <w:spacing w:before="40" w:after="40"/>
              <w:rPr>
                <w:lang w:val="de-DE" w:eastAsia="ja-JP"/>
              </w:rPr>
            </w:pPr>
            <w:r>
              <w:rPr>
                <w:rFonts w:hint="eastAsia" w:ascii="宋体" w:hAnsi="宋体" w:eastAsia="宋体" w:cs="Times New Roman"/>
                <w:color w:val="000000"/>
                <w:szCs w:val="21"/>
                <w:lang w:val="de-DE" w:eastAsia="ja-JP"/>
              </w:rPr>
              <w:t>江苏省常州西太湖科技产业园兰香路8号</w:t>
            </w:r>
          </w:p>
        </w:tc>
        <w:tc>
          <w:tcPr>
            <w:tcW w:w="571" w:type="dxa"/>
            <w:vAlign w:val="center"/>
          </w:tcPr>
          <w:p>
            <w:pPr>
              <w:spacing w:before="40" w:after="40"/>
              <w:rPr>
                <w:lang w:eastAsia="ja-JP"/>
              </w:rPr>
            </w:pPr>
            <w:r>
              <w:rPr>
                <w:rFonts w:hint="eastAsia" w:eastAsia="黑体"/>
                <w:szCs w:val="21"/>
                <w:lang w:val="en-US" w:eastAsia="zh-CN"/>
              </w:rPr>
              <w:t>25</w:t>
            </w:r>
          </w:p>
        </w:tc>
        <w:tc>
          <w:tcPr>
            <w:tcW w:w="2803" w:type="dxa"/>
            <w:vAlign w:val="center"/>
          </w:tcPr>
          <w:p>
            <w:pPr>
              <w:pStyle w:val="21"/>
              <w:rPr>
                <w:lang w:eastAsia="ja-JP"/>
              </w:rPr>
            </w:pPr>
            <w:r>
              <w:rPr>
                <w:rFonts w:hint="eastAsia" w:ascii="宋体" w:hAnsi="宋体" w:eastAsia="宋体" w:cs="Times New Roman"/>
                <w:color w:val="000000"/>
                <w:kern w:val="2"/>
                <w:sz w:val="21"/>
                <w:szCs w:val="21"/>
                <w:lang w:val="de-DE" w:eastAsia="ja-JP" w:bidi="ar-SA"/>
              </w:rPr>
              <w:t>石墨烯导电复合加热膜的设计、生产和销售</w:t>
            </w:r>
          </w:p>
        </w:tc>
        <w:tc>
          <w:tcPr>
            <w:tcW w:w="669" w:type="dxa"/>
            <w:vAlign w:val="center"/>
          </w:tcPr>
          <w:p>
            <w:pPr>
              <w:spacing w:before="40" w:after="40"/>
              <w:rPr>
                <w:lang w:eastAsia="ja-JP"/>
              </w:rPr>
            </w:pPr>
            <w:r>
              <w:rPr>
                <w:rFonts w:hint="eastAsia" w:ascii="宋体" w:hAnsi="宋体" w:eastAsia="宋体" w:cs="Times New Roman"/>
                <w:color w:val="000000"/>
                <w:kern w:val="2"/>
                <w:sz w:val="21"/>
                <w:szCs w:val="21"/>
                <w:lang w:val="de-DE" w:eastAsia="ja-JP" w:bidi="ar-SA"/>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b/>
                    <w:color w:val="000000"/>
                    <w:szCs w:val="21"/>
                    <w:lang w:eastAsia="zh-CN"/>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tc>
        <w:tc>
          <w:tcPr>
            <w:tcW w:w="2179" w:type="dxa"/>
            <w:vAlign w:val="center"/>
          </w:tcPr>
          <w:p>
            <w:r>
              <w:t>14.02.01,15.06.02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张亮</w:t>
            </w:r>
          </w:p>
        </w:tc>
        <w:tc>
          <w:tcPr>
            <w:tcW w:w="1089" w:type="dxa"/>
            <w:vAlign w:val="center"/>
          </w:tcPr>
          <w:p>
            <w:r>
              <w:t>组员</w:t>
            </w:r>
          </w:p>
        </w:tc>
        <w:tc>
          <w:tcPr>
            <w:tcW w:w="711" w:type="dxa"/>
            <w:vAlign w:val="center"/>
          </w:tcPr>
          <w:p>
            <w:r>
              <w:t>男</w:t>
            </w:r>
          </w:p>
        </w:tc>
        <w:tc>
          <w:tcPr>
            <w:tcW w:w="3870" w:type="dxa"/>
            <w:vAlign w:val="center"/>
          </w:tcPr>
          <w:p>
            <w:r>
              <w:t>2021-N0QMS-1280463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tc>
        <w:tc>
          <w:tcPr>
            <w:tcW w:w="1560" w:type="dxa"/>
          </w:tcPr>
          <w:p>
            <w:pPr>
              <w:rPr>
                <w:rFonts w:hint="default" w:eastAsia="宋体"/>
                <w:lang w:val="en-US" w:eastAsia="zh-CN"/>
              </w:rPr>
            </w:pPr>
            <w:r>
              <w:rPr>
                <w:rFonts w:hint="eastAsia"/>
                <w:lang w:val="en-US" w:eastAsia="zh-CN"/>
              </w:rPr>
              <w:t xml:space="preserve">    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0"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7"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p>
          <w:p>
            <w:pPr>
              <w:jc w:val="cente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254635</wp:posOffset>
                  </wp:positionH>
                  <wp:positionV relativeFrom="paragraph">
                    <wp:posOffset>4445</wp:posOffset>
                  </wp:positionV>
                  <wp:extent cx="465455" cy="357505"/>
                  <wp:effectExtent l="0" t="0" r="4445" b="1079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65455" cy="357505"/>
                          </a:xfrm>
                          <a:prstGeom prst="rect">
                            <a:avLst/>
                          </a:prstGeom>
                        </pic:spPr>
                      </pic:pic>
                    </a:graphicData>
                  </a:graphic>
                </wp:anchor>
              </w:drawing>
            </w: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宋体"/>
                <w:b/>
                <w:color w:val="000000" w:themeColor="text1"/>
                <w:szCs w:val="21"/>
                <w:lang w:val="en-US" w:eastAsia="zh-CN"/>
                <w14:textFill>
                  <w14:solidFill>
                    <w14:schemeClr w14:val="tx1"/>
                  </w14:solidFill>
                </w14:textFill>
              </w:rPr>
              <w:t>2022.4.1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w:t>
            </w:r>
            <w:r>
              <w:rPr>
                <w:rFonts w:hint="eastAsia"/>
                <w:lang w:eastAsia="zh-CN"/>
              </w:rPr>
              <w:t>☑</w:t>
            </w:r>
            <w:r>
              <w:rPr>
                <w:rFonts w:hint="eastAsia"/>
              </w:rPr>
              <w:t>设备维修</w:t>
            </w:r>
          </w:p>
          <w:p>
            <w:pPr>
              <w:shd w:val="clear" w:color="auto" w:fill="C7DAF1" w:themeFill="text2" w:themeFillTint="32"/>
              <w:spacing w:before="40" w:after="40"/>
            </w:pPr>
            <w:r>
              <w:rPr>
                <w:rFonts w:hint="eastAsia"/>
                <w:lang w:eastAsia="zh-CN"/>
              </w:rPr>
              <w:t>☑</w:t>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pStyle w:val="3"/>
              <w:spacing w:line="360" w:lineRule="auto"/>
              <w:rPr>
                <w:u w:val="single"/>
              </w:rPr>
            </w:pPr>
            <w:r>
              <w:rPr>
                <w:rFonts w:hint="eastAsia" w:hAnsi="宋体" w:cs="宋体"/>
                <w:szCs w:val="21"/>
              </w:rPr>
              <w:t>“守法诚信追求质量，预防污染保护环境；关爱员工健康安全，持续改进追求卓越。”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379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shd w:val="clear" w:color="auto" w:fill="C7DAF1" w:themeFill="text2" w:themeFillTint="32"/>
                  </w:pPr>
                  <w:r>
                    <w:rPr>
                      <w:rFonts w:hint="eastAsia"/>
                    </w:rPr>
                    <w:t>主要的风险或机遇描述</w:t>
                  </w:r>
                </w:p>
              </w:tc>
              <w:tc>
                <w:tcPr>
                  <w:tcW w:w="379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vAlign w:val="top"/>
                </w:tcPr>
                <w:p>
                  <w:pPr>
                    <w:shd w:val="clear" w:color="auto" w:fill="C7DAF1" w:themeFill="text2" w:themeFillTint="32"/>
                  </w:pPr>
                  <w:r>
                    <w:rPr>
                      <w:rFonts w:hint="eastAsia"/>
                    </w:rPr>
                    <w:t>对市场需要产品的发展趋势判断失误。</w:t>
                  </w:r>
                </w:p>
              </w:tc>
              <w:tc>
                <w:tcPr>
                  <w:tcW w:w="3791" w:type="dxa"/>
                  <w:vAlign w:val="top"/>
                </w:tcPr>
                <w:p>
                  <w:pPr>
                    <w:shd w:val="clear" w:color="auto" w:fill="C7DAF1" w:themeFill="text2" w:themeFillTint="32"/>
                  </w:pPr>
                  <w:r>
                    <w:rPr>
                      <w:rFonts w:hint="eastAsia"/>
                    </w:rPr>
                    <w:t>对市场需求产品的发展趋势分析应该经过反复论证。</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vAlign w:val="top"/>
                </w:tcPr>
                <w:p>
                  <w:pPr>
                    <w:shd w:val="clear" w:color="auto" w:fill="C7DAF1" w:themeFill="text2" w:themeFillTint="32"/>
                    <w:rPr>
                      <w:rFonts w:hint="eastAsia"/>
                    </w:rPr>
                  </w:pPr>
                  <w:r>
                    <w:rPr>
                      <w:rFonts w:hint="eastAsia"/>
                    </w:rPr>
                    <w:t>客户要求识别不完整</w:t>
                  </w:r>
                </w:p>
              </w:tc>
              <w:tc>
                <w:tcPr>
                  <w:tcW w:w="3791" w:type="dxa"/>
                  <w:vAlign w:val="top"/>
                </w:tcPr>
                <w:p>
                  <w:pPr>
                    <w:shd w:val="clear" w:color="auto" w:fill="C7DAF1" w:themeFill="text2" w:themeFillTint="32"/>
                  </w:pPr>
                  <w:r>
                    <w:rPr>
                      <w:rFonts w:hint="eastAsia"/>
                    </w:rPr>
                    <w:t>对客户的要求实施监视和测量。</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014" w:type="dxa"/>
                  <w:vAlign w:val="top"/>
                </w:tcPr>
                <w:p>
                  <w:pPr>
                    <w:shd w:val="clear" w:color="auto" w:fill="C7DAF1" w:themeFill="text2" w:themeFillTint="32"/>
                  </w:pPr>
                  <w:r>
                    <w:rPr>
                      <w:rFonts w:hint="eastAsia"/>
                    </w:rPr>
                    <w:t>未能确保能够满足客户要求就签署合同</w:t>
                  </w:r>
                </w:p>
              </w:tc>
              <w:tc>
                <w:tcPr>
                  <w:tcW w:w="3791" w:type="dxa"/>
                  <w:vAlign w:val="top"/>
                </w:tcPr>
                <w:p>
                  <w:pPr>
                    <w:shd w:val="clear" w:color="auto" w:fill="C7DAF1" w:themeFill="text2" w:themeFillTint="32"/>
                  </w:pPr>
                  <w:r>
                    <w:rPr>
                      <w:rFonts w:hint="eastAsia"/>
                    </w:rPr>
                    <w:t>在确定与客户签署合同前 落实合同评审事宜。</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不能按时交付。</w:t>
                  </w:r>
                </w:p>
              </w:tc>
              <w:tc>
                <w:tcPr>
                  <w:tcW w:w="379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生产计划管制。</w:t>
                  </w:r>
                </w:p>
              </w:tc>
              <w:tc>
                <w:tcPr>
                  <w:tcW w:w="1717" w:type="dxa"/>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pPr>
                    <w:shd w:val="clear" w:color="auto" w:fill="C7DAF1" w:themeFill="text2" w:themeFillTint="32"/>
                  </w:pPr>
                  <w:r>
                    <w:rPr>
                      <w:rFonts w:hint="eastAsia"/>
                    </w:rPr>
                    <w:t>交付的产品不符合客户的要求</w:t>
                  </w:r>
                </w:p>
              </w:tc>
              <w:tc>
                <w:tcPr>
                  <w:tcW w:w="3791" w:type="dxa"/>
                </w:tcPr>
                <w:p>
                  <w:pPr>
                    <w:shd w:val="clear" w:color="auto" w:fill="C7DAF1" w:themeFill="text2" w:themeFillTint="32"/>
                  </w:pPr>
                  <w:r>
                    <w:rPr>
                      <w:rFonts w:hint="eastAsia"/>
                    </w:rPr>
                    <w:t>生产过程的品质控制</w:t>
                  </w:r>
                  <w:r>
                    <w:rPr>
                      <w:rFonts w:hint="eastAsia"/>
                      <w:lang w:eastAsia="zh-CN"/>
                    </w:rPr>
                    <w:t>、</w:t>
                  </w:r>
                  <w:r>
                    <w:rPr>
                      <w:rFonts w:hint="eastAsia"/>
                    </w:rPr>
                    <w:t>成品的品质检验。</w:t>
                  </w:r>
                </w:p>
              </w:tc>
              <w:tc>
                <w:tcPr>
                  <w:tcW w:w="1717" w:type="dxa"/>
                </w:tcPr>
                <w:p>
                  <w:pPr>
                    <w:shd w:val="clear" w:color="auto" w:fill="C7DAF1" w:themeFill="text2" w:themeFillTint="32"/>
                  </w:pPr>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63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3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pPr>
                    <w:shd w:val="clear" w:color="auto" w:fill="C7DAF1" w:themeFill="text2" w:themeFillTint="32"/>
                  </w:pPr>
                  <w:r>
                    <w:rPr>
                      <w:rFonts w:hint="eastAsia" w:ascii="宋体" w:hAnsi="宋体" w:eastAsia="宋体" w:cs="宋体"/>
                      <w:bCs/>
                      <w:color w:val="000000"/>
                      <w:kern w:val="0"/>
                      <w:sz w:val="22"/>
                      <w:szCs w:val="20"/>
                    </w:rPr>
                    <w:t>产品出厂合格率100%</w:t>
                  </w:r>
                </w:p>
              </w:tc>
              <w:tc>
                <w:tcPr>
                  <w:tcW w:w="2633" w:type="dxa"/>
                  <w:shd w:val="clear" w:color="auto" w:fill="auto"/>
                  <w:vAlign w:val="center"/>
                </w:tcPr>
                <w:p>
                  <w:pPr>
                    <w:shd w:val="clear" w:color="auto" w:fill="C7DAF1" w:themeFill="text2" w:themeFillTint="32"/>
                    <w:rPr>
                      <w:lang w:val="en-GB"/>
                    </w:rPr>
                  </w:pPr>
                  <w:r>
                    <w:rPr>
                      <w:rFonts w:hint="eastAsia" w:ascii="宋体" w:hAnsi="宋体" w:eastAsia="宋体" w:cs="宋体"/>
                      <w:bCs/>
                      <w:color w:val="000000"/>
                      <w:kern w:val="0"/>
                      <w:sz w:val="22"/>
                      <w:szCs w:val="20"/>
                    </w:rPr>
                    <w:t>产品一次交验合格数/产品加工数×100%</w:t>
                  </w: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r>
                    <w:rPr>
                      <w:rFonts w:hint="eastAsia" w:ascii="宋体" w:hAnsi="宋体" w:eastAsia="宋体" w:cs="宋体"/>
                      <w:bCs/>
                      <w:color w:val="000000"/>
                      <w:kern w:val="0"/>
                      <w:sz w:val="22"/>
                      <w:szCs w:val="20"/>
                    </w:rPr>
                    <w:t>顾客满意程度</w:t>
                  </w:r>
                  <w:r>
                    <w:rPr>
                      <w:rFonts w:hint="default" w:ascii="宋体" w:hAnsi="宋体" w:eastAsia="宋体" w:cs="宋体"/>
                      <w:bCs/>
                      <w:color w:val="000000"/>
                      <w:kern w:val="0"/>
                      <w:sz w:val="22"/>
                      <w:szCs w:val="20"/>
                    </w:rPr>
                    <w:t>≥</w:t>
                  </w:r>
                  <w:r>
                    <w:rPr>
                      <w:rFonts w:hint="eastAsia" w:ascii="宋体" w:hAnsi="宋体" w:eastAsia="宋体" w:cs="宋体"/>
                      <w:bCs/>
                      <w:color w:val="000000"/>
                      <w:kern w:val="0"/>
                      <w:sz w:val="22"/>
                      <w:szCs w:val="20"/>
                    </w:rPr>
                    <w:t>9</w:t>
                  </w:r>
                  <w:r>
                    <w:rPr>
                      <w:rFonts w:hint="eastAsia" w:ascii="宋体" w:hAnsi="宋体" w:eastAsia="宋体" w:cs="宋体"/>
                      <w:bCs/>
                      <w:color w:val="000000"/>
                      <w:kern w:val="0"/>
                      <w:sz w:val="22"/>
                      <w:szCs w:val="20"/>
                      <w:lang w:val="en-US" w:eastAsia="zh-CN"/>
                    </w:rPr>
                    <w:t>0</w:t>
                  </w:r>
                  <w:r>
                    <w:rPr>
                      <w:rFonts w:hint="eastAsia" w:ascii="宋体" w:hAnsi="宋体" w:eastAsia="宋体" w:cs="宋体"/>
                      <w:bCs/>
                      <w:color w:val="000000"/>
                      <w:kern w:val="0"/>
                      <w:sz w:val="22"/>
                      <w:szCs w:val="20"/>
                    </w:rPr>
                    <w:t>%以上</w:t>
                  </w:r>
                </w:p>
              </w:tc>
              <w:tc>
                <w:tcPr>
                  <w:tcW w:w="2633"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bCs/>
                      <w:color w:val="000000"/>
                      <w:kern w:val="0"/>
                      <w:sz w:val="22"/>
                      <w:szCs w:val="20"/>
                    </w:rPr>
                    <w:t>顾客调查满意度总分/调查份数</w:t>
                  </w: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eastAsia="宋体" w:cs="宋体"/>
                      <w:bCs/>
                      <w:color w:val="000000"/>
                      <w:kern w:val="0"/>
                      <w:sz w:val="22"/>
                      <w:szCs w:val="20"/>
                    </w:rPr>
                    <w:t>9</w:t>
                  </w:r>
                  <w:r>
                    <w:rPr>
                      <w:rFonts w:hint="eastAsia" w:ascii="宋体" w:hAnsi="宋体" w:eastAsia="宋体" w:cs="宋体"/>
                      <w:bCs/>
                      <w:color w:val="000000"/>
                      <w:kern w:val="0"/>
                      <w:sz w:val="22"/>
                      <w:szCs w:val="20"/>
                      <w:lang w:val="en-US" w:eastAsia="zh-CN"/>
                    </w:rPr>
                    <w:t>1</w:t>
                  </w:r>
                  <w:r>
                    <w:rPr>
                      <w:rFonts w:hint="eastAsia" w:ascii="宋体" w:hAnsi="宋体" w:eastAsia="宋体" w:cs="宋体"/>
                      <w:bCs/>
                      <w:color w:val="000000"/>
                      <w:kern w:val="0"/>
                      <w:sz w:val="22"/>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pPr>
                    <w:shd w:val="clear" w:color="auto" w:fill="C7DAF1" w:themeFill="text2" w:themeFillTint="32"/>
                  </w:pPr>
                  <w:r>
                    <w:rPr>
                      <w:rFonts w:hint="eastAsia" w:ascii="宋体" w:hAnsi="宋体" w:eastAsia="宋体" w:cs="宋体"/>
                      <w:bCs/>
                      <w:color w:val="000000"/>
                      <w:kern w:val="0"/>
                      <w:sz w:val="22"/>
                      <w:szCs w:val="20"/>
                    </w:rPr>
                    <w:t>产品研发按时完成率100%</w:t>
                  </w:r>
                </w:p>
              </w:tc>
              <w:tc>
                <w:tcPr>
                  <w:tcW w:w="2633"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bCs/>
                      <w:color w:val="000000"/>
                      <w:kern w:val="0"/>
                      <w:sz w:val="22"/>
                      <w:szCs w:val="20"/>
                    </w:rPr>
                    <w:t>产品研发按时</w:t>
                  </w:r>
                  <w:r>
                    <w:rPr>
                      <w:rFonts w:hint="eastAsia" w:ascii="宋体" w:hAnsi="宋体" w:eastAsia="宋体" w:cs="宋体"/>
                      <w:bCs/>
                      <w:color w:val="000000"/>
                      <w:kern w:val="0"/>
                      <w:sz w:val="22"/>
                      <w:szCs w:val="20"/>
                      <w:lang w:val="en-US" w:eastAsia="zh-CN"/>
                    </w:rPr>
                    <w:t>次数</w:t>
                  </w:r>
                  <w:r>
                    <w:rPr>
                      <w:rFonts w:hint="eastAsia" w:ascii="宋体" w:hAnsi="宋体" w:eastAsia="宋体" w:cs="宋体"/>
                      <w:bCs/>
                      <w:color w:val="000000"/>
                      <w:kern w:val="0"/>
                      <w:sz w:val="22"/>
                      <w:szCs w:val="20"/>
                    </w:rPr>
                    <w:t>/产品研发总</w:t>
                  </w:r>
                  <w:r>
                    <w:rPr>
                      <w:rFonts w:hint="eastAsia" w:ascii="宋体" w:hAnsi="宋体" w:eastAsia="宋体" w:cs="宋体"/>
                      <w:bCs/>
                      <w:color w:val="000000"/>
                      <w:kern w:val="0"/>
                      <w:sz w:val="22"/>
                      <w:szCs w:val="20"/>
                      <w:lang w:val="en-US" w:eastAsia="zh-CN"/>
                    </w:rPr>
                    <w:t>次</w:t>
                  </w:r>
                  <w:r>
                    <w:rPr>
                      <w:rFonts w:hint="eastAsia" w:ascii="宋体" w:hAnsi="宋体" w:eastAsia="宋体" w:cs="宋体"/>
                      <w:bCs/>
                      <w:color w:val="000000"/>
                      <w:kern w:val="0"/>
                      <w:sz w:val="22"/>
                      <w:szCs w:val="20"/>
                    </w:rPr>
                    <w:t>数*100%</w:t>
                  </w: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pPr>
                    <w:shd w:val="clear" w:color="auto" w:fill="C7DAF1" w:themeFill="text2" w:themeFillTint="32"/>
                  </w:pPr>
                </w:p>
              </w:tc>
              <w:tc>
                <w:tcPr>
                  <w:tcW w:w="263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pPr>
                    <w:shd w:val="clear" w:color="auto" w:fill="C7DAF1" w:themeFill="text2" w:themeFillTint="32"/>
                  </w:pPr>
                </w:p>
              </w:tc>
              <w:tc>
                <w:tcPr>
                  <w:tcW w:w="263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1300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000000"/>
                <w:u w:val="single"/>
              </w:rPr>
              <w:t>；镭射切割雕刻机</w:t>
            </w:r>
            <w:r>
              <w:rPr>
                <w:rFonts w:hint="eastAsia"/>
                <w:color w:val="000000"/>
                <w:u w:val="single"/>
                <w:lang w:eastAsia="zh-CN"/>
              </w:rPr>
              <w:t>、丝网印刷机、除湿机、压膜机、贴合机、精密型水平运风烤箱、激光刻蚀机、分切机</w:t>
            </w:r>
            <w:r>
              <w:rPr>
                <w:rFonts w:hint="eastAsia"/>
                <w:color w:val="000000"/>
                <w:u w:val="single"/>
                <w:lang w:val="en-US" w:eastAsia="zh-CN"/>
              </w:rPr>
              <w:t>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color w:val="000000"/>
                <w:u w:val="single"/>
              </w:rPr>
              <w:t>数显卡尺</w:t>
            </w:r>
            <w:r>
              <w:rPr>
                <w:rFonts w:hint="eastAsia"/>
                <w:color w:val="000000"/>
                <w:u w:val="single"/>
                <w:lang w:eastAsia="zh-CN"/>
              </w:rPr>
              <w:t>、数显千分尺、绝缘电阻测试仪、耐压测试仪、泄漏电流测试仪、电子天平</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u w:val="single"/>
              </w:rPr>
            </w:pPr>
            <w:r>
              <w:rPr>
                <w:rFonts w:hint="eastAsia"/>
              </w:rPr>
              <w:t>审核期间内设计和开发新产品/项目名称：</w:t>
            </w:r>
            <w:r>
              <w:rPr>
                <w:rFonts w:hint="eastAsia" w:ascii="Times New Roman" w:hAnsi="Times New Roman" w:cs="Times New Roman"/>
                <w:u w:val="single"/>
                <w:lang w:val="en-US" w:eastAsia="zh-CN"/>
              </w:rPr>
              <w:t xml:space="preserve">JR155 </w:t>
            </w:r>
            <w:r>
              <w:rPr>
                <w:rFonts w:hint="eastAsia" w:ascii="Times New Roman" w:hAnsi="Times New Roman" w:cs="Times New Roman"/>
                <w:u w:val="single"/>
              </w:rPr>
              <w:t>石墨烯导电复合加热膜</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产品生产</w:t>
                  </w:r>
                </w:p>
              </w:tc>
              <w:tc>
                <w:tcPr>
                  <w:tcW w:w="3665" w:type="dxa"/>
                </w:tcPr>
                <w:p>
                  <w:pPr>
                    <w:shd w:val="clear" w:color="auto" w:fill="C7DAF1" w:themeFill="text2" w:themeFillTint="32"/>
                    <w:jc w:val="left"/>
                  </w:pPr>
                  <w:r>
                    <w:rPr>
                      <w:rFonts w:hint="eastAsia" w:ascii="宋体" w:hAnsi="宋体" w:cs="新宋体"/>
                      <w:szCs w:val="21"/>
                      <w:lang w:val="en-US" w:eastAsia="zh-CN"/>
                    </w:rPr>
                    <w:t>涂布</w:t>
                  </w:r>
                  <w:r>
                    <w:t>过程</w:t>
                  </w:r>
                </w:p>
              </w:tc>
              <w:tc>
                <w:tcPr>
                  <w:tcW w:w="3265" w:type="dxa"/>
                </w:tcPr>
                <w:p>
                  <w:pPr>
                    <w:shd w:val="clear" w:color="auto" w:fill="C7DAF1" w:themeFill="text2" w:themeFillTint="32"/>
                    <w:jc w:val="left"/>
                    <w:rPr>
                      <w:rFonts w:hint="eastAsia" w:eastAsia="宋体"/>
                      <w:lang w:eastAsia="zh-CN"/>
                    </w:rPr>
                  </w:pPr>
                  <w:r>
                    <w:rPr>
                      <w:rFonts w:hint="eastAsia"/>
                      <w:sz w:val="20"/>
                    </w:rPr>
                    <w:t>按照技术规范和客户要求</w:t>
                  </w:r>
                  <w:r>
                    <w:rPr>
                      <w:rFonts w:hint="eastAsia"/>
                      <w:sz w:val="20"/>
                      <w:lang w:eastAsia="zh-CN"/>
                    </w:rPr>
                    <w:t>，</w:t>
                  </w:r>
                  <w:r>
                    <w:rPr>
                      <w:rFonts w:hint="eastAsia"/>
                      <w:sz w:val="20"/>
                      <w:lang w:val="en-US" w:eastAsia="zh-CN"/>
                    </w:rPr>
                    <w:t>控制</w:t>
                  </w:r>
                  <w:r>
                    <w:rPr>
                      <w:rFonts w:hint="eastAsia" w:ascii="Times New Roman" w:hAnsi="Times New Roman" w:cs="Times New Roman"/>
                      <w:b w:val="0"/>
                      <w:bCs/>
                      <w:sz w:val="20"/>
                      <w:lang w:val="en-US" w:eastAsia="zh-CN"/>
                    </w:rPr>
                    <w:t>温度、方阻。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 xml:space="preserve"> </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 xml:space="preserve"> </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sz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r>
              <w:rPr>
                <w:color w:val="000000"/>
                <w:sz w:val="21"/>
                <w:szCs w:val="21"/>
              </w:rPr>
              <w:t>未</w:t>
            </w:r>
            <w:r>
              <w:rPr>
                <w:rFonts w:hint="eastAsia"/>
                <w:color w:val="000000"/>
                <w:sz w:val="21"/>
                <w:szCs w:val="21"/>
                <w:lang w:val="en-US" w:eastAsia="zh-CN"/>
              </w:rPr>
              <w:t>提供</w:t>
            </w:r>
            <w:r>
              <w:rPr>
                <w:rFonts w:hint="eastAsia"/>
                <w:color w:val="000000" w:themeColor="text1"/>
                <w:sz w:val="21"/>
                <w:szCs w:val="21"/>
                <w:lang w:val="en-US" w:eastAsia="zh-CN"/>
              </w:rPr>
              <w:t>需要</w:t>
            </w:r>
            <w:r>
              <w:rPr>
                <w:rFonts w:hint="eastAsia"/>
                <w:color w:val="000000"/>
                <w:sz w:val="21"/>
                <w:szCs w:val="21"/>
                <w:lang w:val="en-US" w:eastAsia="zh-CN"/>
              </w:rPr>
              <w:t>确认的</w:t>
            </w:r>
            <w:r>
              <w:rPr>
                <w:rFonts w:hint="eastAsia" w:ascii="Times New Roman" w:hAnsi="Times New Roman" w:eastAsia="宋体" w:cs="Times New Roman"/>
                <w:lang w:val="en-US" w:eastAsia="zh-CN"/>
              </w:rPr>
              <w:t>涂布过程</w:t>
            </w:r>
            <w:r>
              <w:rPr>
                <w:rFonts w:hint="eastAsia" w:cs="Times New Roman"/>
                <w:lang w:val="en-US" w:eastAsia="zh-CN"/>
              </w:rPr>
              <w:t>的参数要求</w:t>
            </w:r>
            <w:r>
              <w:rPr>
                <w:rFonts w:hint="eastAsia"/>
                <w:color w:val="000000"/>
                <w:sz w:val="21"/>
                <w:szCs w:val="21"/>
                <w:lang w:val="en-US" w:eastAsia="zh-CN"/>
              </w:rPr>
              <w:t>及</w:t>
            </w:r>
            <w:r>
              <w:rPr>
                <w:rFonts w:hint="eastAsia"/>
                <w:color w:val="000000"/>
                <w:sz w:val="21"/>
                <w:szCs w:val="21"/>
              </w:rPr>
              <w:t>确认的证据</w:t>
            </w:r>
            <w:r>
              <w:rPr>
                <w:rFonts w:hint="eastAsia"/>
                <w:color w:val="000000"/>
                <w:sz w:val="21"/>
                <w:szCs w:val="21"/>
                <w:lang w:eastAsia="zh-CN"/>
              </w:rPr>
              <w:t>，</w:t>
            </w:r>
            <w:r>
              <w:rPr>
                <w:rFonts w:hint="eastAsia"/>
                <w:lang w:val="en-US" w:eastAsia="zh-CN"/>
              </w:rPr>
              <w:t>已经开具不符合。</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b/>
                <w:color w:val="000000"/>
                <w:szCs w:val="21"/>
                <w:lang w:eastAsia="zh-CN"/>
              </w:rPr>
              <w:t>2021年10</w:t>
            </w:r>
            <w:r>
              <w:rPr>
                <w:rFonts w:hint="eastAsia" w:ascii="宋体" w:hAnsi="宋体"/>
                <w:b/>
                <w:color w:val="000000"/>
                <w:szCs w:val="21"/>
              </w:rPr>
              <w:t>月10日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最高管理者已按策划的时间间隔，在2021年10月26日对组织的质量管理体系进行了评审，以确保其持续的适宜性、充分性和有效性；管理评审输入、输出均按要求提供。并对提出的改进措施进行了落实。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3</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3</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1</w:t>
            </w:r>
          </w:p>
        </w:tc>
        <w:tc>
          <w:tcPr>
            <w:tcW w:w="649"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50" w:type="dxa"/>
            <w:vAlign w:val="center"/>
          </w:tcPr>
          <w:p>
            <w:pPr>
              <w:shd w:val="clear" w:color="auto" w:fill="C7DAF1" w:themeFill="text2" w:themeFillTint="32"/>
              <w:rPr>
                <w:lang w:eastAsia="ja-JP"/>
              </w:rPr>
            </w:pPr>
            <w:r>
              <w:rPr>
                <w:rFonts w:hint="eastAsia"/>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1996E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99"/>
    <w:rPr>
      <w:rFonts w:ascii="宋体" w:hAnsi="Courier Ne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2022-04-12T06:39:50Z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