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301"/>
        <w:gridCol w:w="394"/>
        <w:gridCol w:w="1094"/>
        <w:gridCol w:w="18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2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常州二维暖烯科技有限公司</w:t>
            </w:r>
            <w:bookmarkEnd w:id="2"/>
          </w:p>
        </w:tc>
        <w:tc>
          <w:tcPr>
            <w:tcW w:w="148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1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Q：</w:t>
            </w:r>
            <w:r>
              <w:rPr>
                <w:b/>
                <w:sz w:val="20"/>
              </w:rPr>
              <w:t>14.02.01;15.06.02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Q：</w:t>
            </w:r>
            <w:r>
              <w:rPr>
                <w:b/>
                <w:sz w:val="20"/>
              </w:rPr>
              <w:t>14.02.01;15.06.02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 w:val="0"/>
                <w:bCs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石墨烯导电复合加热膜产品流程：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 w:val="0"/>
                <w:bCs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涂布-分切-老化-丝印-烘烤-光刻-贴电极-贴合正背保护膜-冲孔-铆接导线-端子绝缘-功能测试-外观检验-入库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销售：客户</w:t>
            </w:r>
            <w:r>
              <w:rPr>
                <w:rFonts w:hint="eastAsia"/>
                <w:b w:val="0"/>
                <w:bCs/>
                <w:sz w:val="20"/>
              </w:rPr>
              <w:t>接触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合同评审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签订合同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客户付款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入帐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采购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客户提货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验收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发货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-收回单据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关键过程为涂布过程；主要控制参数：温度、方阻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GB/T 4654-2008 非金属基体红外辐射加热器通用技术条件、JGT 286-2010 低温辐射电热膜、GB 5959.1-2005 电热装置的安全 第1部分：通用要求、GB/T18290[1].2-2000无焊连接 第2部分无焊压接连接 一般要求、试验方法和使用导则等。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审核技术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213995</wp:posOffset>
                  </wp:positionV>
                  <wp:extent cx="419735" cy="322580"/>
                  <wp:effectExtent l="0" t="0" r="12065" b="762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123825</wp:posOffset>
                  </wp:positionV>
                  <wp:extent cx="419735" cy="322580"/>
                  <wp:effectExtent l="0" t="0" r="12065" b="7620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6DD2089"/>
    <w:rsid w:val="0C640EC4"/>
    <w:rsid w:val="17E27124"/>
    <w:rsid w:val="25C25875"/>
    <w:rsid w:val="5F0C06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2022-04-10T17:02:36Z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