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0095-2022-Q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新明和（重庆）环保科技有限公司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2022年02月15日 上午至2022年02月15日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tc>
        <w:tc>
          <w:tcPr>
            <w:tcW w:w="1140" w:type="dxa"/>
            <w:vAlign w:val="center"/>
          </w:tcPr>
          <w:p>
            <w:pPr>
              <w:spacing w:line="240" w:lineRule="exact"/>
              <w:jc w:val="center"/>
              <w:rPr>
                <w:b/>
                <w:color w:val="000000"/>
                <w:szCs w:val="21"/>
              </w:rPr>
            </w:pPr>
            <w:r>
              <w:rPr>
                <w:b/>
                <w:color w:val="000000"/>
                <w:szCs w:val="21"/>
              </w:rPr>
              <w:t>18.05.07,19.05.01,34.06.00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新明和（重庆）环保科技有限公司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重庆市北部新区星光大道62号海王星科技大厦B区3楼4#</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401147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重庆市北部新区星光大道62号海王星科技大厦B区3楼4#</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401147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李雪</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13696410637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洪贤</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黄立勤</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bookmarkStart w:id="35" w:name="审核范围"/>
            <w:r>
              <w:t>环保设备及运行系统的研发、生产、技术咨询</w:t>
            </w:r>
            <w:bookmarkEnd w:id="35"/>
            <w:r>
              <w:rPr>
                <w:rFonts w:hint="eastAsia"/>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eastAsia="宋体"/>
                <w:lang w:eastAsia="zh-CN"/>
              </w:rPr>
            </w:pPr>
            <w:r>
              <w:rPr>
                <w:rFonts w:hint="eastAsia"/>
                <w:lang w:eastAsia="zh-CN"/>
              </w:rPr>
              <w:t>生产工艺流程：</w:t>
            </w:r>
            <w:r>
              <w:rPr>
                <w:rFonts w:hint="eastAsia"/>
              </w:rPr>
              <w:t>采购→检验→切割→组装→焊接→总装→检验→包装入库</w:t>
            </w:r>
            <w:r>
              <w:rPr>
                <w:rFonts w:hint="eastAsia"/>
                <w:lang w:eastAsia="zh-CN"/>
              </w:rPr>
              <w:t>。</w:t>
            </w:r>
          </w:p>
          <w:p>
            <w:pPr>
              <w:rPr>
                <w:rFonts w:hint="eastAsia" w:eastAsia="宋体"/>
                <w:lang w:eastAsia="zh-CN"/>
              </w:rPr>
            </w:pPr>
            <w:r>
              <w:rPr>
                <w:rFonts w:hint="eastAsia" w:eastAsia="宋体"/>
                <w:lang w:val="en-US" w:eastAsia="zh-CN"/>
              </w:rPr>
              <w:t>研发、</w:t>
            </w:r>
            <w:r>
              <w:rPr>
                <w:rFonts w:hint="eastAsia" w:eastAsia="宋体"/>
                <w:lang w:eastAsia="zh-CN"/>
              </w:rPr>
              <w:t>技术咨询流程：市场开发→签订合同→方案设计→咨询服务→客户确认→售后服务。</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环保设备及运行系统的研发、生产、技术咨询</w:t>
            </w:r>
          </w:p>
        </w:tc>
        <w:tc>
          <w:tcPr>
            <w:tcW w:w="2006" w:type="dxa"/>
            <w:gridSpan w:val="3"/>
            <w:vAlign w:val="center"/>
          </w:tcPr>
          <w:p>
            <w:pPr>
              <w:spacing w:line="400" w:lineRule="exact"/>
              <w:rPr>
                <w:rFonts w:ascii="宋体" w:hAnsi="宋体"/>
                <w:b/>
                <w:color w:val="000000"/>
                <w:szCs w:val="21"/>
              </w:rPr>
            </w:pPr>
            <w:bookmarkStart w:id="36" w:name="专业代码"/>
            <w:r>
              <w:t>18.05.07;19.05.01;34.06.00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新明和（重庆）环保科技有限公司</w:t>
            </w:r>
            <w:r>
              <w:rPr>
                <w:rFonts w:hint="eastAsia"/>
                <w:sz w:val="21"/>
                <w:szCs w:val="21"/>
                <w:lang w:val="en-US" w:eastAsia="zh-CN"/>
              </w:rPr>
              <w:t>/</w:t>
            </w:r>
            <w:r>
              <w:rPr>
                <w:sz w:val="21"/>
                <w:szCs w:val="21"/>
              </w:rPr>
              <w:t>重庆市北部新区星光大道62号海王星科技大厦B区3楼4#</w:t>
            </w:r>
          </w:p>
        </w:tc>
        <w:tc>
          <w:tcPr>
            <w:tcW w:w="2267" w:type="dxa"/>
          </w:tcPr>
          <w:p>
            <w:pPr>
              <w:spacing w:before="40" w:after="40"/>
              <w:rPr>
                <w:rFonts w:eastAsia="黑体"/>
                <w:szCs w:val="21"/>
                <w:lang w:val="de-DE" w:eastAsia="ja-JP"/>
              </w:rPr>
            </w:pPr>
            <w:r>
              <w:rPr>
                <w:sz w:val="21"/>
                <w:szCs w:val="21"/>
              </w:rPr>
              <w:t>生产地址：重庆市渝北区双凤桥街道空港大道1002号5幢1层及夹层/销售地址：重庆市北部新区星光大道62号海王星科技大厦B区3楼4#</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22人</w:t>
            </w:r>
          </w:p>
        </w:tc>
        <w:tc>
          <w:tcPr>
            <w:tcW w:w="2803" w:type="dxa"/>
            <w:vAlign w:val="center"/>
          </w:tcPr>
          <w:p>
            <w:pPr>
              <w:pStyle w:val="21"/>
              <w:rPr>
                <w:rFonts w:eastAsia="黑体" w:cs="Arial"/>
                <w:sz w:val="21"/>
                <w:szCs w:val="21"/>
                <w:lang w:val="en-US" w:eastAsia="ja-JP"/>
              </w:rPr>
            </w:pPr>
            <w:r>
              <w:t>环保设备及运行系统的研发、生产、技术咨询</w:t>
            </w:r>
          </w:p>
        </w:tc>
        <w:tc>
          <w:tcPr>
            <w:tcW w:w="669" w:type="dxa"/>
            <w:vAlign w:val="center"/>
          </w:tcPr>
          <w:p>
            <w:pPr>
              <w:rPr>
                <w:rFonts w:eastAsia="黑体"/>
                <w:szCs w:val="21"/>
                <w:lang w:eastAsia="ja-JP"/>
              </w:rPr>
            </w:pPr>
            <w:r>
              <w:rPr>
                <w:rFonts w:hint="eastAsia"/>
                <w:lang w:eastAsia="ja-JP"/>
              </w:rPr>
              <w:t>GB/T19001-2016/ISO9001:2015</w:t>
            </w:r>
          </w:p>
        </w:tc>
        <w:tc>
          <w:tcPr>
            <w:tcW w:w="668" w:type="dxa"/>
            <w:shd w:val="clear" w:color="auto" w:fill="FFFFFF"/>
            <w:vAlign w:val="top"/>
          </w:tcPr>
          <w:p>
            <w:pPr>
              <w:rPr>
                <w:rFonts w:eastAsia="黑体"/>
                <w:szCs w:val="21"/>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2021年09</w:t>
            </w:r>
            <w:r>
              <w:rPr>
                <w:rFonts w:hint="eastAsia" w:ascii="宋体" w:hAnsi="宋体"/>
                <w:b/>
                <w:color w:val="000000"/>
                <w:szCs w:val="21"/>
                <w:u w:val="single"/>
              </w:rPr>
              <w:t>月</w:t>
            </w:r>
            <w:r>
              <w:rPr>
                <w:rFonts w:hint="eastAsia" w:ascii="宋体" w:hAnsi="宋体"/>
                <w:b/>
                <w:color w:val="000000"/>
                <w:szCs w:val="21"/>
                <w:u w:val="single"/>
                <w:lang w:val="en-US" w:eastAsia="zh-CN"/>
              </w:rPr>
              <w:t>101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GB" w:eastAsia="zh-CN" w:bidi="ar-SA"/>
              </w:rPr>
              <w:t>11.已根据策划和标准要求于</w:t>
            </w:r>
            <w:r>
              <w:rPr>
                <w:rFonts w:hint="eastAsia" w:ascii="宋体" w:hAnsi="宋体" w:eastAsia="宋体" w:cs="Times New Roman"/>
                <w:b/>
                <w:color w:val="000000"/>
                <w:kern w:val="2"/>
                <w:sz w:val="21"/>
                <w:szCs w:val="21"/>
                <w:u w:val="single"/>
                <w:lang w:val="en-GB" w:eastAsia="zh-CN" w:bidi="ar-SA"/>
              </w:rPr>
              <w:t>2021 年</w:t>
            </w:r>
            <w:r>
              <w:rPr>
                <w:rFonts w:hint="eastAsia" w:ascii="宋体" w:hAnsi="宋体" w:eastAsia="宋体" w:cs="Times New Roman"/>
                <w:b/>
                <w:color w:val="000000"/>
                <w:kern w:val="2"/>
                <w:sz w:val="21"/>
                <w:szCs w:val="21"/>
                <w:u w:val="single"/>
                <w:lang w:val="en-US" w:eastAsia="zh-CN" w:bidi="ar-SA"/>
              </w:rPr>
              <w:t>12</w:t>
            </w:r>
            <w:r>
              <w:rPr>
                <w:rFonts w:hint="eastAsia" w:ascii="宋体" w:hAnsi="宋体" w:eastAsia="宋体" w:cs="Times New Roman"/>
                <w:b/>
                <w:color w:val="000000"/>
                <w:kern w:val="2"/>
                <w:sz w:val="21"/>
                <w:szCs w:val="21"/>
                <w:u w:val="single"/>
                <w:lang w:val="en-GB" w:eastAsia="zh-CN" w:bidi="ar-SA"/>
              </w:rPr>
              <w:t xml:space="preserve">月 </w:t>
            </w:r>
            <w:r>
              <w:rPr>
                <w:rFonts w:hint="eastAsia" w:ascii="宋体" w:hAnsi="宋体" w:eastAsia="宋体" w:cs="Times New Roman"/>
                <w:b/>
                <w:color w:val="000000"/>
                <w:kern w:val="2"/>
                <w:sz w:val="21"/>
                <w:szCs w:val="21"/>
                <w:u w:val="single"/>
                <w:lang w:val="en-US" w:eastAsia="zh-CN" w:bidi="ar-SA"/>
              </w:rPr>
              <w:t>20</w:t>
            </w:r>
            <w:r>
              <w:rPr>
                <w:rFonts w:hint="eastAsia" w:ascii="宋体" w:hAnsi="宋体" w:eastAsia="宋体" w:cs="Times New Roman"/>
                <w:b/>
                <w:color w:val="000000"/>
                <w:kern w:val="2"/>
                <w:sz w:val="21"/>
                <w:szCs w:val="21"/>
                <w:u w:val="single"/>
                <w:lang w:val="en-GB" w:eastAsia="zh-CN" w:bidi="ar-SA"/>
              </w:rPr>
              <w:t>日</w:t>
            </w:r>
            <w:r>
              <w:rPr>
                <w:rFonts w:hint="eastAsia" w:ascii="宋体" w:hAnsi="宋体" w:eastAsia="宋体" w:cs="Times New Roman"/>
                <w:b/>
                <w:color w:val="000000"/>
                <w:kern w:val="2"/>
                <w:sz w:val="21"/>
                <w:szCs w:val="21"/>
                <w:lang w:val="en-GB" w:eastAsia="zh-CN" w:bidi="ar-SA"/>
              </w:rPr>
              <w:t>由有能力的人实施了内部审核，覆盖所有场所、部门和过程，组织通过内审验证了管理体系的符合性及有效性，并对不符合项制订和采取了纠正措施。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hint="eastAsia" w:ascii="宋体" w:hAnsi="宋体" w:eastAsia="宋体" w:cs="Times New Roman"/>
                <w:b/>
                <w:color w:val="000000"/>
                <w:kern w:val="2"/>
                <w:sz w:val="21"/>
                <w:szCs w:val="21"/>
                <w:lang w:val="en-GB" w:eastAsia="zh-CN" w:bidi="ar-SA"/>
              </w:rPr>
            </w:pPr>
            <w:r>
              <w:rPr>
                <w:rFonts w:hint="eastAsia" w:ascii="宋体" w:hAnsi="宋体" w:eastAsia="宋体" w:cs="Times New Roman"/>
                <w:b/>
                <w:color w:val="000000"/>
                <w:kern w:val="2"/>
                <w:sz w:val="21"/>
                <w:szCs w:val="21"/>
                <w:lang w:val="en-US" w:eastAsia="zh-CN" w:bidi="ar-SA"/>
              </w:rPr>
              <w:t>12.已根据策划于</w:t>
            </w:r>
            <w:r>
              <w:rPr>
                <w:rFonts w:hint="eastAsia" w:ascii="宋体" w:hAnsi="宋体" w:eastAsia="宋体" w:cs="Times New Roman"/>
                <w:b/>
                <w:color w:val="000000"/>
                <w:kern w:val="2"/>
                <w:sz w:val="21"/>
                <w:szCs w:val="21"/>
                <w:u w:val="single"/>
                <w:lang w:val="en-US" w:eastAsia="zh-CN" w:bidi="ar-SA"/>
              </w:rPr>
              <w:t xml:space="preserve"> 2021年12月28日</w:t>
            </w:r>
            <w:r>
              <w:rPr>
                <w:rFonts w:hint="eastAsia" w:ascii="宋体" w:hAnsi="宋体" w:eastAsia="宋体" w:cs="Times New Roman"/>
                <w:b/>
                <w:color w:val="000000"/>
                <w:kern w:val="2"/>
                <w:sz w:val="21"/>
                <w:szCs w:val="21"/>
                <w:lang w:val="en-US" w:eastAsia="zh-CN" w:bidi="ar-SA"/>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hint="eastAsia" w:ascii="宋体" w:hAnsi="宋体"/>
                <w:color w:val="000000"/>
                <w:szCs w:val="21"/>
                <w:lang w:eastAsia="zh-CN"/>
              </w:rPr>
            </w:pPr>
            <w:r>
              <w:rPr>
                <w:rFonts w:hint="eastAsia" w:ascii="宋体" w:hAnsi="宋体"/>
                <w:color w:val="000000"/>
                <w:szCs w:val="21"/>
                <w:lang w:eastAsia="zh-CN"/>
              </w:rPr>
              <w:t xml:space="preserve">是否满足产品检测的需要                </w:t>
            </w:r>
          </w:p>
        </w:tc>
        <w:tc>
          <w:tcPr>
            <w:tcW w:w="1063" w:type="dxa"/>
            <w:shd w:val="clear" w:color="auto" w:fill="DBEEF3" w:themeFill="accent5" w:themeFillTint="32"/>
          </w:tcPr>
          <w:p>
            <w:pPr>
              <w:rPr>
                <w:rFonts w:hint="eastAsia" w:ascii="宋体" w:hAnsi="宋体"/>
                <w:color w:val="000000"/>
                <w:szCs w:val="21"/>
                <w:lang w:eastAsia="zh-CN"/>
              </w:rPr>
            </w:pPr>
            <w:r>
              <w:rPr>
                <w:rFonts w:hint="eastAsia" w:ascii="宋体" w:hAnsi="宋体"/>
                <w:color w:val="000000"/>
                <w:szCs w:val="21"/>
                <w:lang w:eastAsia="zh-CN"/>
              </w:rPr>
              <w:t xml:space="preserve">□是     </w:t>
            </w:r>
          </w:p>
        </w:tc>
        <w:tc>
          <w:tcPr>
            <w:tcW w:w="1637" w:type="dxa"/>
            <w:shd w:val="clear" w:color="auto" w:fill="DBEEF3" w:themeFill="accent5" w:themeFillTint="32"/>
          </w:tcPr>
          <w:p>
            <w:pPr>
              <w:rPr>
                <w:rFonts w:hint="eastAsia" w:ascii="宋体" w:hAnsi="宋体"/>
                <w:color w:val="000000"/>
                <w:szCs w:val="21"/>
                <w:lang w:eastAsia="zh-CN"/>
              </w:rPr>
            </w:pPr>
            <w:r>
              <w:rPr>
                <w:rFonts w:hint="eastAsia" w:ascii="宋体" w:hAnsi="宋体"/>
                <w:color w:val="000000"/>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2022-02-1</w:t>
            </w:r>
            <w:bookmarkEnd w:id="37"/>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sz w:val="20"/>
              </w:rPr>
              <w:t>环保设备及运行系统的研发、生产、技术咨询</w:t>
            </w:r>
          </w:p>
        </w:tc>
        <w:tc>
          <w:tcPr>
            <w:tcW w:w="1541" w:type="dxa"/>
            <w:vAlign w:val="center"/>
          </w:tcPr>
          <w:p>
            <w:pPr>
              <w:spacing w:line="400" w:lineRule="exact"/>
              <w:rPr>
                <w:rFonts w:ascii="宋体" w:hAnsi="宋体"/>
                <w:b/>
                <w:color w:val="000000"/>
                <w:szCs w:val="21"/>
              </w:rPr>
            </w:pPr>
            <w:r>
              <w:rPr>
                <w:sz w:val="20"/>
              </w:rPr>
              <w:t>18.05.07;19.05.01;34.06.00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4617085</wp:posOffset>
            </wp:positionH>
            <wp:positionV relativeFrom="paragraph">
              <wp:posOffset>4445</wp:posOffset>
            </wp:positionV>
            <wp:extent cx="812800" cy="400050"/>
            <wp:effectExtent l="0" t="0" r="10160" b="11430"/>
            <wp:wrapNone/>
            <wp:docPr id="2" name="图片 2"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eastAsia="宋体"/>
          <w:lang w:eastAsia="zh-CN"/>
        </w:rPr>
        <w:drawing>
          <wp:anchor distT="0" distB="0" distL="114300" distR="114300" simplePos="0" relativeHeight="251662336" behindDoc="0" locked="0" layoutInCell="1" allowOverlap="1">
            <wp:simplePos x="0" y="0"/>
            <wp:positionH relativeFrom="column">
              <wp:posOffset>1715770</wp:posOffset>
            </wp:positionH>
            <wp:positionV relativeFrom="paragraph">
              <wp:posOffset>10795</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2022年2月15日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新明和（重庆）环保科技有限公司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widowControl/>
              <w:spacing w:before="40"/>
              <w:jc w:val="left"/>
              <w:rPr>
                <w:rFonts w:hint="eastAsia" w:ascii="Calibri" w:hAnsi="Calibri" w:eastAsia="宋体" w:cs="Times New Roman"/>
                <w:color w:val="000000"/>
                <w:kern w:val="2"/>
                <w:sz w:val="21"/>
                <w:szCs w:val="21"/>
                <w:lang w:val="en-US" w:eastAsia="zh-CN" w:bidi="ar-SA"/>
              </w:rPr>
            </w:pPr>
            <w:r>
              <w:rPr>
                <w:rFonts w:hint="eastAsia" w:ascii="Calibri" w:hAnsi="Calibri" w:eastAsia="宋体" w:cs="Times New Roman"/>
                <w:color w:val="000000"/>
                <w:kern w:val="2"/>
                <w:sz w:val="21"/>
                <w:szCs w:val="21"/>
                <w:lang w:val="en-US" w:eastAsia="zh-CN" w:bidi="ar-SA"/>
              </w:rPr>
              <w:t>提供的游标卡尺、钢卷尺、压力表、数字万用表、数字绝缘电阻表、数字钳形表校准或检定证书过期。</w:t>
            </w:r>
          </w:p>
          <w:p>
            <w:pPr>
              <w:pStyle w:val="8"/>
              <w:pBdr>
                <w:bottom w:val="none" w:color="auto" w:sz="0" w:space="0"/>
              </w:pBdr>
              <w:tabs>
                <w:tab w:val="center" w:pos="5737"/>
                <w:tab w:val="clear" w:pos="4153"/>
              </w:tabs>
              <w:jc w:val="both"/>
              <w:rPr>
                <w:rFonts w:hint="eastAsia" w:eastAsia="宋体"/>
                <w:color w:val="000000"/>
                <w:sz w:val="21"/>
                <w:szCs w:val="21"/>
                <w:lang w:val="en-US" w:eastAsia="zh-CN"/>
              </w:rPr>
            </w:pPr>
            <w:bookmarkStart w:id="38" w:name="_GoBack"/>
            <w:bookmarkEnd w:id="38"/>
          </w:p>
        </w:tc>
        <w:tc>
          <w:tcPr>
            <w:tcW w:w="922" w:type="dxa"/>
            <w:vAlign w:val="center"/>
          </w:tcPr>
          <w:p>
            <w:pPr>
              <w:pStyle w:val="8"/>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GB/T19001-2016</w:t>
            </w:r>
          </w:p>
        </w:tc>
        <w:tc>
          <w:tcPr>
            <w:tcW w:w="1133" w:type="dxa"/>
            <w:vAlign w:val="center"/>
          </w:tcPr>
          <w:p>
            <w:pPr>
              <w:pStyle w:val="8"/>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7.1.5</w:t>
            </w:r>
          </w:p>
        </w:tc>
        <w:tc>
          <w:tcPr>
            <w:tcW w:w="934" w:type="dxa"/>
            <w:vAlign w:val="center"/>
          </w:tcPr>
          <w:p>
            <w:pPr>
              <w:pStyle w:val="8"/>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8"/>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未提供叉车有效检验报告</w:t>
            </w:r>
          </w:p>
        </w:tc>
        <w:tc>
          <w:tcPr>
            <w:tcW w:w="922" w:type="dxa"/>
            <w:vAlign w:val="center"/>
          </w:tcPr>
          <w:p>
            <w:pPr>
              <w:pStyle w:val="8"/>
              <w:pBdr>
                <w:bottom w:val="none" w:color="auto" w:sz="0" w:space="0"/>
              </w:pBdr>
              <w:tabs>
                <w:tab w:val="center" w:pos="5737"/>
                <w:tab w:val="clear" w:pos="4153"/>
              </w:tabs>
              <w:jc w:val="both"/>
              <w:rPr>
                <w:rFonts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GB/T19001-2016</w:t>
            </w:r>
          </w:p>
        </w:tc>
        <w:tc>
          <w:tcPr>
            <w:tcW w:w="1133" w:type="dxa"/>
            <w:vAlign w:val="center"/>
          </w:tcPr>
          <w:p>
            <w:pPr>
              <w:pStyle w:val="8"/>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8.5.1d</w:t>
            </w:r>
          </w:p>
        </w:tc>
        <w:tc>
          <w:tcPr>
            <w:tcW w:w="934" w:type="dxa"/>
            <w:vAlign w:val="center"/>
          </w:tcPr>
          <w:p>
            <w:pPr>
              <w:pStyle w:val="8"/>
              <w:pBdr>
                <w:bottom w:val="none" w:color="auto" w:sz="0" w:space="0"/>
              </w:pBdr>
              <w:tabs>
                <w:tab w:val="center" w:pos="5737"/>
                <w:tab w:val="clear" w:pos="4153"/>
              </w:tabs>
              <w:jc w:val="both"/>
              <w:rPr>
                <w:rFonts w:ascii="Calibri" w:hAnsi="Calibri" w:eastAsia="宋体" w:cs="Times New Roman"/>
                <w:color w:val="000000"/>
                <w:kern w:val="2"/>
                <w:sz w:val="21"/>
                <w:szCs w:val="21"/>
                <w:lang w:val="en-US" w:eastAsia="zh-CN" w:bidi="ar-SA"/>
              </w:rPr>
            </w:pPr>
            <w:r>
              <w:rPr>
                <w:rFonts w:hint="eastAsia"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rFonts w:hint="eastAsia" w:eastAsia="宋体"/>
                <w:lang w:eastAsia="zh-CN"/>
              </w:rPr>
              <w:drawing>
                <wp:anchor distT="0" distB="0" distL="114300" distR="114300" simplePos="0" relativeHeight="251664384" behindDoc="0" locked="0" layoutInCell="1" allowOverlap="1">
                  <wp:simplePos x="0" y="0"/>
                  <wp:positionH relativeFrom="column">
                    <wp:posOffset>691515</wp:posOffset>
                  </wp:positionH>
                  <wp:positionV relativeFrom="paragraph">
                    <wp:posOffset>239395</wp:posOffset>
                  </wp:positionV>
                  <wp:extent cx="812800" cy="400050"/>
                  <wp:effectExtent l="0" t="0" r="10160" b="11430"/>
                  <wp:wrapNone/>
                  <wp:docPr id="3" name="图片 3"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sz w:val="21"/>
                <w:szCs w:val="21"/>
                <w:lang w:val="en-US" w:eastAsia="zh-CN"/>
              </w:rPr>
              <w:t>李雪</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539115</wp:posOffset>
                  </wp:positionH>
                  <wp:positionV relativeFrom="paragraph">
                    <wp:posOffset>118745</wp:posOffset>
                  </wp:positionV>
                  <wp:extent cx="812800" cy="400050"/>
                  <wp:effectExtent l="0" t="0" r="10160" b="11430"/>
                  <wp:wrapNone/>
                  <wp:docPr id="5" name="图片 5"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f6c635d400c29486ef2a72372c844e"/>
                          <pic:cNvPicPr>
                            <a:picLocks noChangeAspect="1"/>
                          </pic:cNvPicPr>
                        </pic:nvPicPr>
                        <pic:blipFill>
                          <a:blip r:embed="rId6"/>
                          <a:stretch>
                            <a:fillRect/>
                          </a:stretch>
                        </pic:blipFill>
                        <pic:spPr>
                          <a:xfrm>
                            <a:off x="0" y="0"/>
                            <a:ext cx="812800" cy="40005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E718F6"/>
    <w:rsid w:val="2041613C"/>
    <w:rsid w:val="2AD16B46"/>
    <w:rsid w:val="2F8E1211"/>
    <w:rsid w:val="30941B83"/>
    <w:rsid w:val="49C8622B"/>
    <w:rsid w:val="5D7B1F4C"/>
    <w:rsid w:val="622F6C66"/>
    <w:rsid w:val="6DF64B98"/>
    <w:rsid w:val="7F3455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2022-02-16T05:17:52Z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