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测斜仪测量外筒外径尺寸测量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48±0.1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</w:rPr>
              <w:t>48mm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(0-150)mm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DQYB /CL-01《测斜仪测量外筒外径尺寸测量过程控制规范》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  <w:lang w:val="en-US" w:eastAsia="zh-CN"/>
              </w:rPr>
              <w:t>扬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测斜仪测量外筒外径尺寸测量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测斜仪测量外筒外径尺寸测量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测斜仪测量外筒外径尺寸测量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见《测斜仪测量外筒外径尺寸测量过程监视统计质控图》附录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szCs w:val="21"/>
        </w:rPr>
        <w:drawing>
          <wp:inline distT="0" distB="0" distL="114300" distR="114300">
            <wp:extent cx="581660" cy="324485"/>
            <wp:effectExtent l="0" t="0" r="2540" b="5715"/>
            <wp:docPr id="25" name="图片 25" descr="c8295ef3666738a5507a9faa08169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8295ef3666738a5507a9faa081697f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6185" t="12161" r="57101" b="76662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B5620"/>
    <w:rsid w:val="112663FF"/>
    <w:rsid w:val="52F05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2022-02-22T06:23:48Z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56E3C223030C4FBA9C7B07D69D92C3C5</vt:lpwstr>
  </property>
</Properties>
</file>