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0054-2021-QEO-2022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杭州拓成劳务服务有限公司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Q:ISC-Q-2021-1310,E:ISC-E-2021-0897,O:ISC-O-2021-0828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91330105056735903T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Q:50,E:50,O:50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杭州拓成劳务服务有限公司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Q：许可证范围内劳务派遣：项目劳务分包（劳务项目承包、劳务服务外包）、办公场所和厂区保洁服务（法规强制要求范围除外）</w:t>
            </w:r>
          </w:p>
          <w:p>
            <w:pPr>
              <w:snapToGrid w:val="0"/>
              <w:spacing w:line="0" w:lineRule="atLeast"/>
              <w:jc w:val="left"/>
              <w:rPr>
                <w:sz w:val="22"/>
                <w:szCs w:val="22"/>
              </w:rPr>
            </w:pPr>
            <w:r>
              <w:rPr>
                <w:sz w:val="22"/>
                <w:szCs w:val="22"/>
              </w:rPr>
              <w:t>E：许可证范围内劳务派遣：项目劳务分包（劳务项目承包、劳务服务外包）、办公场所和厂区保洁服务（法规强制要求范围除外）所涉及场所的相关环境管理活动</w:t>
            </w:r>
          </w:p>
          <w:p>
            <w:pPr>
              <w:snapToGrid w:val="0"/>
              <w:spacing w:line="0" w:lineRule="atLeast"/>
              <w:jc w:val="left"/>
              <w:rPr>
                <w:sz w:val="22"/>
                <w:szCs w:val="22"/>
              </w:rPr>
            </w:pPr>
            <w:r>
              <w:rPr>
                <w:sz w:val="22"/>
                <w:szCs w:val="22"/>
              </w:rPr>
              <w:t>O：许可证范围内劳务派遣：项目劳务分包（劳务项目承包、劳务服务外包）、办公场所和厂区保洁服务（法规强制要求范围除外）所涉及场所的相关职业健康安全管理活动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浙江省杭州市拱墅区和睦路523号225室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浙江省杭州市拱墅区储鑫路28号（春秋华庭西北门商铺）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pStyle w:val="2"/>
              <w:spacing w:line="400" w:lineRule="exact"/>
              <w:ind w:left="0" w:leftChars="0" w:firstLine="0" w:firstLineChars="0"/>
              <w:rPr>
                <w:rFonts w:hint="default" w:eastAsia="微软雅黑"/>
                <w:b/>
                <w:color w:val="000000" w:themeColor="text1"/>
                <w:sz w:val="22"/>
                <w:szCs w:val="22"/>
                <w:u w:val="single"/>
                <w:lang w:val="en-US" w:eastAsia="zh-CN"/>
              </w:rPr>
            </w:pPr>
            <w:r>
              <w:rPr>
                <w:rFonts w:ascii="微软雅黑" w:hAnsi="微软雅黑" w:eastAsia="微软雅黑" w:cs="微软雅黑"/>
                <w:i w:val="0"/>
                <w:caps w:val="0"/>
                <w:spacing w:val="0"/>
                <w:sz w:val="19"/>
                <w:szCs w:val="19"/>
                <w:shd w:val="clear" w:fill="FFFFFF"/>
              </w:rPr>
              <w:t>Hangzho</w:t>
            </w:r>
            <w:r>
              <w:rPr>
                <w:rFonts w:hint="eastAsia" w:ascii="微软雅黑" w:hAnsi="微软雅黑" w:eastAsia="微软雅黑" w:cs="微软雅黑"/>
                <w:i w:val="0"/>
                <w:caps w:val="0"/>
                <w:spacing w:val="0"/>
                <w:sz w:val="19"/>
                <w:szCs w:val="19"/>
                <w:shd w:val="clear" w:fill="FFFFFF"/>
                <w:lang w:val="en-US" w:eastAsia="zh-CN"/>
              </w:rPr>
              <w:t>u tuocheng labour service  co.,ltd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ascii="微软雅黑" w:hAnsi="微软雅黑" w:eastAsia="微软雅黑" w:cs="微软雅黑"/>
                <w:i w:val="0"/>
                <w:caps w:val="0"/>
                <w:spacing w:val="0"/>
                <w:sz w:val="19"/>
                <w:szCs w:val="19"/>
                <w:shd w:val="clear" w:fill="FFFFFF"/>
              </w:rPr>
              <w:t>Labor dispatch within the scope of the license: project labor subcontracting (labor project contracting, labor service outsourcing), office space and factory cleaning services (except the scope of mandatory requirements of the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ascii="微软雅黑" w:hAnsi="微软雅黑" w:eastAsia="微软雅黑" w:cs="微软雅黑"/>
                <w:i w:val="0"/>
                <w:caps w:val="0"/>
                <w:spacing w:val="0"/>
                <w:sz w:val="19"/>
                <w:szCs w:val="19"/>
                <w:shd w:val="clear" w:fill="FFFFFF"/>
              </w:rPr>
              <w:t>Labor dispatch within the scope of the license: environmental management activities related to the premises involved in the project labor subcontracting (labor project contracting, labor service outsourcing), office premises and factory cleaning services (except the scope of mandatory requirements of the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caps w:val="0"/>
                <w:spacing w:val="0"/>
                <w:sz w:val="19"/>
                <w:szCs w:val="19"/>
                <w:shd w:val="clear" w:fill="FFFFFF"/>
              </w:rPr>
              <w:t>Room 225,</w:t>
            </w:r>
            <w:r>
              <w:rPr>
                <w:rFonts w:hint="eastAsia" w:ascii="微软雅黑" w:hAnsi="微软雅黑" w:eastAsia="微软雅黑" w:cs="微软雅黑"/>
                <w:i w:val="0"/>
                <w:caps w:val="0"/>
                <w:spacing w:val="0"/>
                <w:sz w:val="19"/>
                <w:szCs w:val="19"/>
                <w:shd w:val="clear" w:fill="FFFFFF"/>
                <w:lang w:val="en-US" w:eastAsia="zh-CN"/>
              </w:rPr>
              <w:t>NO.</w:t>
            </w:r>
            <w:r>
              <w:rPr>
                <w:rFonts w:ascii="微软雅黑" w:hAnsi="微软雅黑" w:eastAsia="微软雅黑" w:cs="微软雅黑"/>
                <w:i w:val="0"/>
                <w:caps w:val="0"/>
                <w:spacing w:val="0"/>
                <w:sz w:val="19"/>
                <w:szCs w:val="19"/>
                <w:shd w:val="clear" w:fill="FFFFFF"/>
              </w:rPr>
              <w:t>523 Harmony Road, Gongshu District, Hangzhou City, Zhejiang</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ascii="微软雅黑" w:hAnsi="微软雅黑" w:eastAsia="微软雅黑" w:cs="微软雅黑"/>
                <w:i w:val="0"/>
                <w:caps w:val="0"/>
                <w:spacing w:val="0"/>
                <w:sz w:val="19"/>
                <w:szCs w:val="19"/>
                <w:shd w:val="clear" w:fill="FFFFFF"/>
              </w:rPr>
              <w:t>Labor dispatch within the scope of the license: relevant occupational health and safety management activities of the places involved in the project labor subcontracting (labor project contracting, labor service outsourcing), office premises and factory cleaning services (except the scope of mandatory requirements of the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spacing w:val="0"/>
                <w:sz w:val="19"/>
                <w:szCs w:val="19"/>
                <w:shd w:val="clear" w:fill="FFFFFF"/>
              </w:rPr>
              <w:t>No.28, Chuxin Road, Gongshu District, Hangzhou City, Zhejiang Province (Chunqiu Huating Northwest Gate Shop)</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eastAsia="宋体"/>
          <w:lang w:val="en-GB" w:eastAsia="zh-CN"/>
        </w:rPr>
      </w:pPr>
      <w:r>
        <w:rPr>
          <w:rFonts w:hint="eastAsia"/>
          <w:lang w:val="en-US" w:eastAsia="zh-CN"/>
        </w:rPr>
        <w:t xml:space="preserve"> </w:t>
      </w:r>
      <w:bookmarkStart w:id="21" w:name="_GoBack"/>
      <w:bookmarkEnd w:id="21"/>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9643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2022-02-14T01:38:48Z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