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14:textFill>
            <w14:solidFill>
              <w14:schemeClr w14:val="tx1"/>
            </w14:solidFill>
          </w14:textFill>
        </w:rPr>
      </w:pPr>
      <w:r>
        <w:rPr>
          <w:rFonts w:hint="eastAsia"/>
          <w:b/>
          <w:color w:val="000000" w:themeColor="text1"/>
          <w:sz w:val="21"/>
          <w:szCs w:val="21"/>
          <w14:textFill>
            <w14:solidFill>
              <w14:schemeClr w14:val="tx1"/>
            </w14:solidFill>
          </w14:textFill>
        </w:rPr>
        <w:t>合同编号:</w:t>
      </w:r>
      <w:bookmarkStart w:id="0" w:name="合同编号"/>
      <w:r>
        <w:rPr>
          <w:b/>
          <w:bCs/>
          <w:color w:val="000000" w:themeColor="text1"/>
          <w:sz w:val="21"/>
          <w:szCs w:val="21"/>
          <w:u w:val="single"/>
          <w14:textFill>
            <w14:solidFill>
              <w14:schemeClr w14:val="tx1"/>
            </w14:solidFill>
          </w14:textFill>
        </w:rPr>
        <w:t>0083-2022-QEO</w:t>
      </w:r>
      <w:bookmarkEnd w:id="0"/>
    </w:p>
    <w:p>
      <w:pPr>
        <w:snapToGrid w:val="0"/>
        <w:spacing w:line="0" w:lineRule="atLeast"/>
        <w:jc w:val="center"/>
        <w:rPr>
          <w:rFonts w:eastAsia="隶书"/>
          <w:b/>
          <w:color w:val="000000" w:themeColor="text1"/>
          <w:sz w:val="30"/>
          <w:szCs w:val="30"/>
          <w14:textFill>
            <w14:solidFill>
              <w14:schemeClr w14:val="tx1"/>
            </w14:solidFill>
          </w14:textFill>
        </w:rPr>
      </w:pPr>
      <w:r>
        <w:rPr>
          <w:rFonts w:hint="eastAsia" w:eastAsia="隶书"/>
          <w:b/>
          <w:color w:val="000000" w:themeColor="text1"/>
          <w:sz w:val="30"/>
          <w:szCs w:val="30"/>
          <w14:textFill>
            <w14:solidFill>
              <w14:schemeClr w14:val="tx1"/>
            </w14:solidFill>
          </w14:textFill>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14:textFill>
                  <w14:solidFill>
                    <w14:schemeClr w14:val="tx1"/>
                  </w14:solidFill>
                </w14:textFill>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14:textFill>
                  <w14:solidFill>
                    <w14:schemeClr w14:val="tx1"/>
                  </w14:solidFill>
                </w14:textFill>
              </w:rPr>
            </w:pPr>
            <w:bookmarkStart w:id="1" w:name="组织名称"/>
            <w:r>
              <w:rPr>
                <w:rFonts w:eastAsia="隶书"/>
                <w:b/>
                <w:color w:val="000000" w:themeColor="text1"/>
                <w:sz w:val="22"/>
                <w:szCs w:val="22"/>
                <w14:textFill>
                  <w14:solidFill>
                    <w14:schemeClr w14:val="tx1"/>
                  </w14:solidFill>
                </w14:textFill>
              </w:rPr>
              <w:t>甘肃东麟文化产业有限公司</w:t>
            </w:r>
            <w:bookmarkEnd w:id="1"/>
          </w:p>
        </w:tc>
        <w:tc>
          <w:tcPr>
            <w:tcW w:w="1370" w:type="dxa"/>
          </w:tcPr>
          <w:p>
            <w:pPr>
              <w:snapToGrid w:val="0"/>
              <w:spacing w:line="0" w:lineRule="atLeast"/>
              <w:jc w:val="center"/>
              <w:rPr>
                <w:rFonts w:eastAsia="隶书"/>
                <w:b/>
                <w:color w:val="000000" w:themeColor="text1"/>
                <w:sz w:val="22"/>
                <w:szCs w:val="22"/>
                <w14:textFill>
                  <w14:solidFill>
                    <w14:schemeClr w14:val="tx1"/>
                  </w14:solidFill>
                </w14:textFill>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14:textFill>
                  <w14:solidFill>
                    <w14:schemeClr w14:val="tx1"/>
                  </w14:solidFill>
                </w14:textFill>
              </w:rPr>
            </w:pPr>
            <w:bookmarkStart w:id="2" w:name="总组长"/>
            <w:r>
              <w:rPr>
                <w:rFonts w:eastAsia="隶书"/>
                <w:b/>
                <w:color w:val="000000" w:themeColor="text1"/>
                <w:sz w:val="22"/>
                <w:szCs w:val="22"/>
                <w14:textFill>
                  <w14:solidFill>
                    <w14:schemeClr w14:val="tx1"/>
                  </w14:solidFill>
                </w14:textFill>
              </w:rPr>
              <w:t>强兴</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91620102MA74FQ0J16</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Q:10,E:10,O:10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14:textFill>
                  <w14:solidFill>
                    <w14:schemeClr w14:val="tx1"/>
                  </w14:solidFill>
                </w14:textFill>
              </w:rPr>
              <w:t>■</w:t>
            </w:r>
            <w:bookmarkEnd w:id="13"/>
            <w:r>
              <w:rPr>
                <w:rFonts w:hint="eastAsia"/>
                <w:b/>
                <w:color w:val="000000" w:themeColor="text1"/>
                <w:spacing w:val="-2"/>
                <w:sz w:val="21"/>
                <w:szCs w:val="21"/>
                <w14:textFill>
                  <w14:solidFill>
                    <w14:schemeClr w14:val="tx1"/>
                  </w14:solidFill>
                </w14:textFill>
              </w:rPr>
              <w:t>初次认证</w:t>
            </w:r>
            <w:bookmarkStart w:id="14" w:name="监督勾选"/>
            <w:r>
              <w:rPr>
                <w:rFonts w:hint="eastAsia"/>
                <w:b/>
                <w:color w:val="000000" w:themeColor="text1"/>
                <w:spacing w:val="-2"/>
                <w:sz w:val="21"/>
                <w:szCs w:val="21"/>
                <w14:textFill>
                  <w14:solidFill>
                    <w14:schemeClr w14:val="tx1"/>
                  </w14:solidFill>
                </w14:textFill>
              </w:rPr>
              <w:t>□</w:t>
            </w:r>
            <w:bookmarkEnd w:id="14"/>
            <w:r>
              <w:rPr>
                <w:rFonts w:hint="eastAsia"/>
                <w:b/>
                <w:color w:val="000000" w:themeColor="text1"/>
                <w:spacing w:val="-2"/>
                <w:sz w:val="21"/>
                <w:szCs w:val="21"/>
                <w14:textFill>
                  <w14:solidFill>
                    <w14:schemeClr w14:val="tx1"/>
                  </w14:solidFill>
                </w14:textFill>
              </w:rPr>
              <w:t>监督审核</w:t>
            </w:r>
            <w:bookmarkStart w:id="15" w:name="再认证勾选"/>
            <w:r>
              <w:rPr>
                <w:rFonts w:hint="eastAsia"/>
                <w:b/>
                <w:color w:val="000000" w:themeColor="text1"/>
                <w:spacing w:val="-2"/>
                <w:sz w:val="21"/>
                <w:szCs w:val="21"/>
                <w14:textFill>
                  <w14:solidFill>
                    <w14:schemeClr w14:val="tx1"/>
                  </w14:solidFill>
                </w14:textFill>
              </w:rPr>
              <w:t>□</w:t>
            </w:r>
            <w:bookmarkEnd w:id="15"/>
            <w:r>
              <w:rPr>
                <w:rFonts w:hint="eastAsia"/>
                <w:b/>
                <w:color w:val="000000" w:themeColor="text1"/>
                <w:spacing w:val="-2"/>
                <w:sz w:val="21"/>
                <w:szCs w:val="21"/>
                <w14:textFill>
                  <w14:solidFill>
                    <w14:schemeClr w14:val="tx1"/>
                  </w14:solidFill>
                </w14:textFill>
              </w:rPr>
              <w:t>再认证</w:t>
            </w:r>
            <w:bookmarkStart w:id="16" w:name="特殊审核勾选"/>
            <w:r>
              <w:rPr>
                <w:rFonts w:hint="eastAsia"/>
                <w:b/>
                <w:color w:val="000000" w:themeColor="text1"/>
                <w:spacing w:val="-2"/>
                <w:sz w:val="21"/>
                <w:szCs w:val="21"/>
                <w14:textFill>
                  <w14:solidFill>
                    <w14:schemeClr w14:val="tx1"/>
                  </w14:solidFill>
                </w14:textFill>
              </w:rPr>
              <w:t>□</w:t>
            </w:r>
            <w:bookmarkEnd w:id="16"/>
            <w:r>
              <w:rPr>
                <w:rFonts w:hint="eastAsia"/>
                <w:b/>
                <w:color w:val="000000" w:themeColor="text1"/>
                <w:spacing w:val="-2"/>
                <w:sz w:val="21"/>
                <w:szCs w:val="21"/>
                <w14:textFill>
                  <w14:solidFill>
                    <w14:schemeClr w14:val="tx1"/>
                  </w14:solidFill>
                </w14:textFill>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14:textFill>
                  <w14:solidFill>
                    <w14:schemeClr w14:val="tx1"/>
                  </w14:solidFill>
                </w14:textFill>
              </w:rPr>
            </w:pPr>
            <w:r>
              <w:rPr>
                <w:rFonts w:hint="eastAsia"/>
                <w:b/>
                <w:color w:val="000000" w:themeColor="text1"/>
                <w:sz w:val="22"/>
                <w:szCs w:val="22"/>
                <w14:textFill>
                  <w14:solidFill>
                    <w14:schemeClr w14:val="tx1"/>
                  </w14:solidFill>
                </w14:textFill>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甘肃东麟文化产业有限公司</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Q：出版物专项排版、制版、装订；出版物、包装装潢印刷品、其他印刷品数字印刷（资质范围内）</w:t>
            </w:r>
          </w:p>
          <w:p>
            <w:pPr>
              <w:snapToGrid w:val="0"/>
              <w:spacing w:line="0" w:lineRule="atLeast"/>
              <w:jc w:val="left"/>
              <w:rPr>
                <w:sz w:val="22"/>
                <w:szCs w:val="22"/>
              </w:rPr>
            </w:pPr>
            <w:r>
              <w:rPr>
                <w:sz w:val="22"/>
                <w:szCs w:val="22"/>
              </w:rPr>
              <w:t>E：出版物专项排版、制版、装订；出版物、包装装潢印刷品、其他印刷品数字印刷（资质范围内）所涉及场所的相关环境管理活动</w:t>
            </w:r>
          </w:p>
          <w:p>
            <w:pPr>
              <w:snapToGrid w:val="0"/>
              <w:spacing w:line="0" w:lineRule="atLeast"/>
              <w:jc w:val="left"/>
              <w:rPr>
                <w:sz w:val="22"/>
                <w:szCs w:val="22"/>
              </w:rPr>
            </w:pPr>
            <w:r>
              <w:rPr>
                <w:sz w:val="22"/>
                <w:szCs w:val="22"/>
              </w:rPr>
              <w:t>O：出版物专项排版、制版、装订；出版物、包装装潢</w:t>
            </w:r>
            <w:r>
              <w:rPr>
                <w:rFonts w:ascii="Times New Roman" w:hAnsi="Times New Roman" w:eastAsia="宋体" w:cs="Times New Roman"/>
                <w:sz w:val="22"/>
                <w:szCs w:val="22"/>
              </w:rPr>
              <w:t>印刷品、其他印刷品数字印刷（资质范围内）</w:t>
            </w:r>
            <w:bookmarkEnd w:id="18"/>
            <w:r>
              <w:rPr>
                <w:rFonts w:hint="eastAsia" w:ascii="Times New Roman" w:hAnsi="Times New Roman" w:eastAsia="宋体" w:cs="Times New Roman"/>
                <w:sz w:val="22"/>
                <w:szCs w:val="22"/>
              </w:rPr>
              <w:t>所涉及场所的相关职业健康安全管理活动</w:t>
            </w:r>
            <w:r>
              <w:rPr>
                <w:rFonts w:hint="eastAsia" w:ascii="Times New Roman" w:hAnsi="Times New Roman" w:eastAsia="宋体" w:cs="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甘肃省兰州市城关区皋兰路街道平凉路366号2楼</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甘肃省兰州市城关区皋兰路街道平凉路366号2楼</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color w:val="0000FF"/>
                <w:sz w:val="22"/>
                <w:szCs w:val="16"/>
              </w:rPr>
              <w:t>Gansu Donglin Cultural Industry Co., 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color w:val="0000FF"/>
                <w:sz w:val="22"/>
                <w:szCs w:val="22"/>
              </w:rPr>
              <w:t>Special typesetting, plate making, and binding of publications; digital printing of publications, packaging and decoration prints, and other prints (within the scope of qualifications)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r>
              <w:rPr>
                <w:rFonts w:hint="eastAsia"/>
                <w:color w:val="0000FF"/>
                <w:sz w:val="22"/>
                <w:szCs w:val="22"/>
              </w:rPr>
              <w:t>Special typesetting, plate making and binding of publications; relevant environmental management activities of the places involved in the digital printing of publications, packaging and decoration printed matters, and other printed matters (within the scope of qualifications)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center"/>
              <w:rPr>
                <w:sz w:val="22"/>
                <w:szCs w:val="22"/>
              </w:rPr>
            </w:pPr>
            <w:r>
              <w:rPr>
                <w:rFonts w:hint="eastAsia" w:cs="Arial"/>
                <w:b/>
                <w:bCs/>
                <w:color w:val="0000FF"/>
                <w:sz w:val="22"/>
                <w:szCs w:val="16"/>
              </w:rPr>
              <w:t>2</w:t>
            </w:r>
            <w:r>
              <w:rPr>
                <w:rFonts w:cs="Arial"/>
                <w:b/>
                <w:bCs/>
                <w:color w:val="0000FF"/>
                <w:sz w:val="22"/>
                <w:szCs w:val="16"/>
              </w:rPr>
              <w:t>nd</w:t>
            </w:r>
            <w:r>
              <w:rPr>
                <w:rFonts w:hint="eastAsia" w:cs="Arial"/>
                <w:b/>
                <w:bCs/>
                <w:color w:val="0000FF"/>
                <w:sz w:val="22"/>
                <w:szCs w:val="16"/>
              </w:rPr>
              <w:t xml:space="preserve"> Floor,</w:t>
            </w:r>
            <w:r>
              <w:rPr>
                <w:rFonts w:hint="eastAsia" w:cs="Arial"/>
                <w:b/>
                <w:bCs/>
                <w:color w:val="0000FF"/>
                <w:sz w:val="22"/>
                <w:szCs w:val="16"/>
                <w:lang w:val="en-US" w:eastAsia="zh-CN"/>
              </w:rPr>
              <w:t xml:space="preserve"> </w:t>
            </w:r>
            <w:r>
              <w:rPr>
                <w:rFonts w:hint="eastAsia" w:cs="Arial"/>
                <w:b/>
                <w:bCs/>
                <w:color w:val="0000FF"/>
                <w:sz w:val="22"/>
                <w:szCs w:val="16"/>
              </w:rPr>
              <w:t>No.</w:t>
            </w:r>
            <w:r>
              <w:rPr>
                <w:rFonts w:cs="Arial"/>
                <w:b/>
                <w:bCs/>
                <w:color w:val="0000FF"/>
                <w:sz w:val="22"/>
                <w:szCs w:val="16"/>
              </w:rPr>
              <w:t xml:space="preserve"> </w:t>
            </w:r>
            <w:r>
              <w:rPr>
                <w:rFonts w:hint="eastAsia" w:cs="Arial"/>
                <w:b/>
                <w:bCs/>
                <w:color w:val="0000FF"/>
                <w:sz w:val="22"/>
                <w:szCs w:val="16"/>
              </w:rPr>
              <w:t>366</w:t>
            </w:r>
            <w:r>
              <w:rPr>
                <w:rFonts w:cs="Arial"/>
                <w:b/>
                <w:bCs/>
                <w:color w:val="0000FF"/>
                <w:sz w:val="22"/>
                <w:szCs w:val="16"/>
              </w:rPr>
              <w:t>,</w:t>
            </w:r>
            <w:r>
              <w:rPr>
                <w:rFonts w:hint="eastAsia" w:cs="Arial"/>
                <w:b/>
                <w:bCs/>
                <w:color w:val="0000FF"/>
                <w:sz w:val="22"/>
                <w:szCs w:val="16"/>
                <w:lang w:val="en-US" w:eastAsia="zh-CN"/>
              </w:rPr>
              <w:t xml:space="preserve"> </w:t>
            </w:r>
            <w:r>
              <w:rPr>
                <w:rFonts w:cs="Arial"/>
                <w:b/>
                <w:bCs/>
                <w:color w:val="0000FF"/>
                <w:sz w:val="22"/>
                <w:szCs w:val="16"/>
              </w:rPr>
              <w:t>Pingliang Road, Gaolan Road Street</w:t>
            </w:r>
            <w:r>
              <w:rPr>
                <w:rFonts w:hint="eastAsia" w:cs="Arial"/>
                <w:b/>
                <w:bCs/>
                <w:color w:val="0000FF"/>
                <w:sz w:val="22"/>
                <w:szCs w:val="16"/>
              </w:rPr>
              <w:t>, Chengguan District</w:t>
            </w:r>
            <w:bookmarkStart w:id="21" w:name="_GoBack"/>
            <w:bookmarkEnd w:id="21"/>
            <w:r>
              <w:rPr>
                <w:rFonts w:hint="eastAsia" w:cs="Arial"/>
                <w:b/>
                <w:bCs/>
                <w:color w:val="0000FF"/>
                <w:sz w:val="22"/>
                <w:szCs w:val="16"/>
              </w:rPr>
              <w:t xml:space="preserve">, </w:t>
            </w:r>
            <w:r>
              <w:rPr>
                <w:rFonts w:cs="Arial"/>
                <w:b/>
                <w:bCs/>
                <w:color w:val="0000FF"/>
                <w:sz w:val="22"/>
                <w:szCs w:val="16"/>
              </w:rPr>
              <w:t>Lanzhou City, Gansu Province, 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r>
              <w:rPr>
                <w:rFonts w:hint="eastAsia"/>
                <w:color w:val="0000FF"/>
                <w:sz w:val="22"/>
                <w:szCs w:val="22"/>
              </w:rPr>
              <w:t>Special typesetting, plate making and binding of publications; relevant occupational health and safety management activities of the places involved in the digital printing of publications, packaging and decoration printed matters, and other printed matters (within the scope of qualification</w:t>
            </w:r>
            <w:r>
              <w:rPr>
                <w:color w:val="0000FF"/>
                <w:sz w:val="22"/>
                <w:szCs w:val="22"/>
              </w:rPr>
              <w:t>s</w:t>
            </w:r>
            <w:r>
              <w:rPr>
                <w:rFonts w:hint="eastAsia"/>
                <w:color w:val="0000FF"/>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center"/>
              <w:rPr>
                <w:sz w:val="22"/>
                <w:szCs w:val="22"/>
              </w:rPr>
            </w:pPr>
            <w:r>
              <w:rPr>
                <w:rFonts w:hint="eastAsia" w:cs="Arial"/>
                <w:b/>
                <w:bCs/>
                <w:color w:val="0000FF"/>
                <w:sz w:val="22"/>
                <w:szCs w:val="16"/>
              </w:rPr>
              <w:t>2</w:t>
            </w:r>
            <w:r>
              <w:rPr>
                <w:rFonts w:cs="Arial"/>
                <w:b/>
                <w:bCs/>
                <w:color w:val="0000FF"/>
                <w:sz w:val="22"/>
                <w:szCs w:val="16"/>
              </w:rPr>
              <w:t>nd</w:t>
            </w:r>
            <w:r>
              <w:rPr>
                <w:rFonts w:hint="eastAsia" w:cs="Arial"/>
                <w:b/>
                <w:bCs/>
                <w:color w:val="0000FF"/>
                <w:sz w:val="22"/>
                <w:szCs w:val="16"/>
              </w:rPr>
              <w:t xml:space="preserve"> Floor,</w:t>
            </w:r>
            <w:r>
              <w:rPr>
                <w:rFonts w:hint="eastAsia" w:cs="Arial"/>
                <w:b/>
                <w:bCs/>
                <w:color w:val="0000FF"/>
                <w:sz w:val="22"/>
                <w:szCs w:val="16"/>
                <w:lang w:val="en-US" w:eastAsia="zh-CN"/>
              </w:rPr>
              <w:t xml:space="preserve"> </w:t>
            </w:r>
            <w:r>
              <w:rPr>
                <w:rFonts w:hint="eastAsia" w:cs="Arial"/>
                <w:b/>
                <w:bCs/>
                <w:color w:val="0000FF"/>
                <w:sz w:val="22"/>
                <w:szCs w:val="16"/>
              </w:rPr>
              <w:t>No.</w:t>
            </w:r>
            <w:r>
              <w:rPr>
                <w:rFonts w:cs="Arial"/>
                <w:b/>
                <w:bCs/>
                <w:color w:val="0000FF"/>
                <w:sz w:val="22"/>
                <w:szCs w:val="16"/>
              </w:rPr>
              <w:t xml:space="preserve"> </w:t>
            </w:r>
            <w:r>
              <w:rPr>
                <w:rFonts w:hint="eastAsia" w:cs="Arial"/>
                <w:b/>
                <w:bCs/>
                <w:color w:val="0000FF"/>
                <w:sz w:val="22"/>
                <w:szCs w:val="16"/>
              </w:rPr>
              <w:t>366</w:t>
            </w:r>
            <w:r>
              <w:rPr>
                <w:rFonts w:cs="Arial"/>
                <w:b/>
                <w:bCs/>
                <w:color w:val="0000FF"/>
                <w:sz w:val="22"/>
                <w:szCs w:val="16"/>
              </w:rPr>
              <w:t>,</w:t>
            </w:r>
            <w:r>
              <w:rPr>
                <w:rFonts w:hint="eastAsia" w:cs="Arial"/>
                <w:b/>
                <w:bCs/>
                <w:color w:val="0000FF"/>
                <w:sz w:val="22"/>
                <w:szCs w:val="16"/>
                <w:lang w:val="en-US" w:eastAsia="zh-CN"/>
              </w:rPr>
              <w:t xml:space="preserve"> </w:t>
            </w:r>
            <w:r>
              <w:rPr>
                <w:rFonts w:cs="Arial"/>
                <w:b/>
                <w:bCs/>
                <w:color w:val="0000FF"/>
                <w:sz w:val="22"/>
                <w:szCs w:val="16"/>
              </w:rPr>
              <w:t>Pingliang Road, Gaolan Road Street</w:t>
            </w:r>
            <w:r>
              <w:rPr>
                <w:rFonts w:hint="eastAsia" w:cs="Arial"/>
                <w:b/>
                <w:bCs/>
                <w:color w:val="0000FF"/>
                <w:sz w:val="22"/>
                <w:szCs w:val="16"/>
              </w:rPr>
              <w:t xml:space="preserve">, Chengguan District, </w:t>
            </w:r>
            <w:r>
              <w:rPr>
                <w:rFonts w:cs="Arial"/>
                <w:b/>
                <w:bCs/>
                <w:color w:val="0000FF"/>
                <w:sz w:val="22"/>
                <w:szCs w:val="16"/>
              </w:rPr>
              <w:t>Lanzhou City, Gansu Province, 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14:textFill>
            <w14:solidFill>
              <w14:schemeClr w14:val="tx1"/>
            </w14:solidFill>
          </w14:textFill>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4942205</wp:posOffset>
              </wp:positionH>
              <wp:positionV relativeFrom="paragraph">
                <wp:posOffset>135890</wp:posOffset>
              </wp:positionV>
              <wp:extent cx="1116330" cy="256540"/>
              <wp:effectExtent l="0" t="0" r="7620" b="10160"/>
              <wp:wrapNone/>
              <wp:docPr id="1" name="文本框 1025"/>
              <wp:cNvGraphicFramePr/>
              <a:graphic xmlns:a="http://schemas.openxmlformats.org/drawingml/2006/main">
                <a:graphicData uri="http://schemas.microsoft.com/office/word/2010/wordprocessingShape">
                  <wps:wsp>
                    <wps:cNvSpPr txBox="1"/>
                    <wps:spPr>
                      <a:xfrm>
                        <a:off x="0" y="0"/>
                        <a:ext cx="1116330" cy="256540"/>
                      </a:xfrm>
                      <a:prstGeom prst="rect">
                        <a:avLst/>
                      </a:prstGeom>
                      <a:solidFill>
                        <a:srgbClr val="FFFFFF"/>
                      </a:solidFill>
                      <a:ln>
                        <a:noFill/>
                      </a:ln>
                    </wps:spPr>
                    <wps:txbx>
                      <w:txbxContent>
                        <w:p>
                          <w:pPr>
                            <w:rPr>
                              <w:sz w:val="18"/>
                              <w:szCs w:val="18"/>
                            </w:rPr>
                          </w:pPr>
                          <w:r>
                            <w:rPr>
                              <w:rFonts w:hint="eastAsia"/>
                              <w:sz w:val="18"/>
                              <w:szCs w:val="18"/>
                            </w:rPr>
                            <w:t>ISC-B-II-20(05版）</w:t>
                          </w:r>
                        </w:p>
                      </w:txbxContent>
                    </wps:txbx>
                    <wps:bodyPr upright="1"/>
                  </wps:wsp>
                </a:graphicData>
              </a:graphic>
            </wp:anchor>
          </w:drawing>
        </mc:Choice>
        <mc:Fallback>
          <w:pict>
            <v:shape id="文本框 1025" o:spid="_x0000_s1026" o:spt="202" type="#_x0000_t202" style="position:absolute;left:0pt;margin-left:389.15pt;margin-top:10.7pt;height:20.2pt;width:87.9pt;z-index:251659264;mso-width-relative:page;mso-height-relative:page;" fillcolor="#FFFFFF" filled="t" stroked="f" coordsize="21600,21600" o:gfxdata="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HFALAjYAAAACQEAAA8AAAAAAAAAAQAgAAAAIgAAAGRycy9kb3ducmV2&#10;LnhtbFBLAQIUABQAAAAIAIdO4kCUWhH2wwEAAHoDAAAOAAAAAAAAAAEAIAAAACcBAABkcnMvZTJv&#10;RG9jLnhtbFBLBQYAAAAABgAGAFkBAABcBQAAAAA=&#10;">
              <v:fill on="t" focussize="0,0"/>
              <v:stroke on="f"/>
              <v:imagedata o:title=""/>
              <o:lock v:ext="edit" aspectratio="f"/>
              <v:textbox>
                <w:txbxContent>
                  <w:p>
                    <w:pPr>
                      <w:rPr>
                        <w:sz w:val="18"/>
                        <w:szCs w:val="18"/>
                      </w:rPr>
                    </w:pPr>
                    <w:r>
                      <w:rPr>
                        <w:rFonts w:hint="eastAsia"/>
                        <w:sz w:val="18"/>
                        <w:szCs w:val="18"/>
                      </w:rPr>
                      <w:t>ISC-B-II-20(05版）</w:t>
                    </w:r>
                  </w:p>
                </w:txbxContent>
              </v:textbox>
            </v:shape>
          </w:pict>
        </mc:Fallback>
      </mc:AlternateConten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89"/>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612C0D"/>
    <w:rsid w:val="2AEE0EBC"/>
    <w:rsid w:val="2DC23A23"/>
    <w:rsid w:val="47DC15F5"/>
    <w:rsid w:val="558D6F77"/>
    <w:rsid w:val="6D8B77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863</Words>
  <Characters>1342</Characters>
  <Lines>18</Lines>
  <Paragraphs>5</Paragraphs>
  <TotalTime>0</TotalTime>
  <ScaleCrop>false</ScaleCrop>
  <LinksUpToDate>false</LinksUpToDate>
  <CharactersWithSpaces>1509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Administrator</cp:lastModifiedBy>
  <cp:lastPrinted>2022-02-25T02:08:36Z</cp:lastPrinted>
  <dcterms:modified xsi:type="dcterms:W3CDTF">2022-02-25T02:12:48Z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BDCD48DD93EF49F88961426E0D6F12D9</vt:lpwstr>
  </property>
  <property fmtid="{D5CDD505-2E9C-101B-9397-08002B2CF9AE}" pid="3" name="KSOProductBuildVer">
    <vt:lpwstr>2052-11.1.0.11365</vt:lpwstr>
  </property>
</Properties>
</file>