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5275" cy="9152890"/>
            <wp:effectExtent l="0" t="0" r="9525" b="3810"/>
            <wp:docPr id="1" name="图片 1" descr="图像 (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像 (2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915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946"/>
        <w:gridCol w:w="774"/>
        <w:gridCol w:w="762"/>
        <w:gridCol w:w="256"/>
        <w:gridCol w:w="294"/>
        <w:gridCol w:w="408"/>
        <w:gridCol w:w="272"/>
        <w:gridCol w:w="1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河北营观图创科技有限公司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石家庄高新区海河道9号博深文创科技孵化器3号楼05室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</w:t>
            </w:r>
            <w:bookmarkStart w:id="22" w:name="_GoBack"/>
            <w:r>
              <w:rPr>
                <w:rFonts w:asciiTheme="minorEastAsia" w:hAnsiTheme="minorEastAsia" w:eastAsiaTheme="minorEastAsia"/>
                <w:sz w:val="20"/>
              </w:rPr>
              <w:t>石家庄市桥西区张营村中营街17排8号</w:t>
            </w:r>
            <w:bookmarkEnd w:id="2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郭国东</w:t>
            </w:r>
            <w:bookmarkEnd w:id="3"/>
          </w:p>
        </w:tc>
        <w:tc>
          <w:tcPr>
            <w:tcW w:w="12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13722867072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5300725@qq.com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0059-2022-Q</w:t>
            </w:r>
            <w:bookmarkEnd w:id="6"/>
          </w:p>
        </w:tc>
        <w:tc>
          <w:tcPr>
            <w:tcW w:w="125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21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7" w:name="审核范围"/>
            <w:r>
              <w:rPr>
                <w:sz w:val="20"/>
              </w:rPr>
              <w:t>计算机应用软件开发</w:t>
            </w:r>
            <w:bookmarkEnd w:id="17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8" w:name="专业代码"/>
            <w:r>
              <w:rPr>
                <w:sz w:val="20"/>
              </w:rPr>
              <w:t>33.02.01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2022年02月16日 上午至2022年02月16日 下午</w:t>
            </w:r>
            <w:bookmarkEnd w:id="20"/>
            <w:r>
              <w:rPr>
                <w:rFonts w:hint="eastAsia"/>
                <w:b/>
                <w:sz w:val="20"/>
              </w:rPr>
              <w:t>(共</w:t>
            </w:r>
            <w:bookmarkStart w:id="21" w:name="审核天数"/>
            <w:r>
              <w:rPr>
                <w:rFonts w:hint="eastAsia"/>
                <w:b/>
                <w:sz w:val="20"/>
              </w:rPr>
              <w:t>1.0</w:t>
            </w:r>
            <w:bookmarkEnd w:id="2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6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6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5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刘哲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66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ISC-JSZJ-482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</w:t>
            </w:r>
          </w:p>
        </w:tc>
        <w:tc>
          <w:tcPr>
            <w:tcW w:w="135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13630839189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6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53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5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刘哲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66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河北极速网络科技有限公司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33.02.01</w:t>
            </w:r>
          </w:p>
        </w:tc>
        <w:tc>
          <w:tcPr>
            <w:tcW w:w="1355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13630839189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0"/>
                <w:lang w:val="en-US" w:eastAsia="zh-CN" w:bidi="ar-SA"/>
              </w:rPr>
              <w:t>审核组长</w:t>
            </w: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2022.2.15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2022.2.15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2022.2.15</w:t>
            </w:r>
          </w:p>
        </w:tc>
      </w:tr>
    </w:tbl>
    <w:p/>
    <w:p/>
    <w:p/>
    <w:p>
      <w:pPr>
        <w:pStyle w:val="2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6"/>
        <w:gridCol w:w="6427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2022.2.16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9：0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监视和测量总则；管理评审；总则；持续改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范围的确认、资质的确认、法律法规执行情况、质量抽查及顾客投诉情况、一阶段不符合验证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7.1/9.1.1/9.3/10.1/10.3</w:t>
            </w:r>
          </w:p>
        </w:tc>
        <w:tc>
          <w:tcPr>
            <w:tcW w:w="11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组织的岗位、职责权限；目标；文件化信息；人员、组织知识；能力；意识；沟通；</w:t>
            </w:r>
            <w:r>
              <w:rPr>
                <w:rFonts w:hint="eastAsia"/>
                <w:sz w:val="21"/>
                <w:szCs w:val="21"/>
              </w:rPr>
              <w:t>产品和服务要求；外部提供的过程、产品和服务的控制；顾客或外部供方财产；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分析与评价；顾客满意；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/6.2/7.1.2/7.1.6/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8.5.3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9.1.3/9.2</w:t>
            </w:r>
          </w:p>
        </w:tc>
        <w:tc>
          <w:tcPr>
            <w:tcW w:w="11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5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研发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部：组织的岗位、职责权限；目标；基础设施；运行环境；监视和测量资源；运行的策划和控制；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生产和服务提供的控制；标识和可追溯性；产品防护；交付后活动；变更的控制；产品和服务的放行；不合格输出的控制；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8.5/8.6/8.7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11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AA2DC6"/>
    <w:rsid w:val="126274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2022-02-21T04:13:30Z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