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0107-2021-EnMS-2022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江阴市建设物业管理有限公司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R197EnMS210006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913202812504157431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ascii="Times New Roman" w:hAnsi="Times New Roman" w:eastAsia="宋体" w:cs="Times New Roman"/>
                <w:sz w:val="22"/>
                <w:szCs w:val="22"/>
              </w:rPr>
            </w:pPr>
            <w:bookmarkStart w:id="5" w:name="Q勾选"/>
            <w:r>
              <w:rPr>
                <w:rFonts w:hint="eastAsia" w:ascii="Times New Roman" w:hAnsi="Times New Roman" w:eastAsia="宋体" w:cs="Times New Roman"/>
                <w:sz w:val="22"/>
                <w:szCs w:val="22"/>
              </w:rPr>
              <w:t>□</w:t>
            </w:r>
            <w:bookmarkEnd w:id="5"/>
            <w:r>
              <w:rPr>
                <w:rFonts w:hint="eastAsia" w:ascii="Times New Roman" w:hAnsi="Times New Roman" w:eastAsia="宋体" w:cs="Times New Roman"/>
                <w:sz w:val="22"/>
                <w:szCs w:val="22"/>
              </w:rPr>
              <w:t xml:space="preserve"> GB/T 19001-2016 idt ISO 9001:2015标准 (不适用：  条款)</w:t>
            </w:r>
          </w:p>
          <w:p>
            <w:pPr>
              <w:snapToGrid w:val="0"/>
              <w:spacing w:line="0" w:lineRule="atLeast"/>
              <w:jc w:val="left"/>
              <w:rPr>
                <w:rFonts w:hint="eastAsia" w:ascii="Times New Roman" w:hAnsi="Times New Roman" w:eastAsia="宋体" w:cs="Times New Roman"/>
                <w:sz w:val="22"/>
                <w:szCs w:val="22"/>
              </w:rPr>
            </w:pPr>
            <w:bookmarkStart w:id="6" w:name="QJ勾选"/>
            <w:r>
              <w:rPr>
                <w:rFonts w:hint="eastAsia" w:ascii="Times New Roman" w:hAnsi="Times New Roman" w:eastAsia="宋体" w:cs="Times New Roman"/>
                <w:sz w:val="22"/>
                <w:szCs w:val="22"/>
              </w:rPr>
              <w:t>□</w:t>
            </w:r>
            <w:bookmarkEnd w:id="6"/>
            <w:r>
              <w:rPr>
                <w:rFonts w:hint="eastAsia" w:ascii="Times New Roman" w:hAnsi="Times New Roman" w:eastAsia="宋体" w:cs="Times New Roman"/>
                <w:sz w:val="22"/>
                <w:szCs w:val="22"/>
              </w:rPr>
              <w:t xml:space="preserve"> GB/T 50430-2017 (不适用：  条款)；</w:t>
            </w:r>
          </w:p>
          <w:p>
            <w:pPr>
              <w:snapToGrid w:val="0"/>
              <w:spacing w:line="0" w:lineRule="atLeast"/>
              <w:jc w:val="left"/>
              <w:rPr>
                <w:rFonts w:hint="eastAsia" w:ascii="Times New Roman" w:hAnsi="Times New Roman" w:eastAsia="宋体" w:cs="Times New Roman"/>
                <w:sz w:val="22"/>
                <w:szCs w:val="22"/>
              </w:rPr>
            </w:pPr>
            <w:bookmarkStart w:id="7" w:name="E勾选"/>
            <w:r>
              <w:rPr>
                <w:rFonts w:hint="eastAsia" w:ascii="Times New Roman" w:hAnsi="Times New Roman" w:eastAsia="宋体" w:cs="Times New Roman"/>
                <w:sz w:val="22"/>
                <w:szCs w:val="22"/>
              </w:rPr>
              <w:t>□</w:t>
            </w:r>
            <w:bookmarkEnd w:id="7"/>
            <w:r>
              <w:rPr>
                <w:rFonts w:hint="eastAsia" w:ascii="Times New Roman" w:hAnsi="Times New Roman" w:eastAsia="宋体" w:cs="Times New Roman"/>
                <w:sz w:val="22"/>
                <w:szCs w:val="22"/>
              </w:rPr>
              <w:t xml:space="preserve"> GB/T 24001-2016 idt ISO 14001:2015标准；</w:t>
            </w:r>
          </w:p>
          <w:p>
            <w:pPr>
              <w:snapToGrid w:val="0"/>
              <w:spacing w:line="0" w:lineRule="atLeast"/>
              <w:jc w:val="left"/>
              <w:rPr>
                <w:rFonts w:hint="eastAsia" w:ascii="Times New Roman" w:hAnsi="Times New Roman" w:eastAsia="宋体" w:cs="Times New Roman"/>
                <w:sz w:val="22"/>
                <w:szCs w:val="22"/>
              </w:rPr>
            </w:pPr>
            <w:bookmarkStart w:id="8" w:name="S勾选"/>
            <w:r>
              <w:rPr>
                <w:rFonts w:hint="eastAsia" w:ascii="Times New Roman" w:hAnsi="Times New Roman" w:eastAsia="宋体" w:cs="Times New Roman"/>
                <w:sz w:val="22"/>
                <w:szCs w:val="22"/>
              </w:rPr>
              <w:t>□</w:t>
            </w:r>
            <w:bookmarkEnd w:id="8"/>
            <w:r>
              <w:rPr>
                <w:rFonts w:hint="eastAsia" w:ascii="Times New Roman" w:hAnsi="Times New Roman" w:eastAsia="宋体" w:cs="Times New Roman"/>
                <w:sz w:val="22"/>
                <w:szCs w:val="22"/>
              </w:rPr>
              <w:t xml:space="preserve"> GB/T 45001-2020 idt ISO 45001:2018标准；</w:t>
            </w:r>
          </w:p>
          <w:p>
            <w:pPr>
              <w:snapToGrid w:val="0"/>
              <w:spacing w:line="0" w:lineRule="atLeast"/>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 xml:space="preserve"> GB/T 23331-2020 idt ISO 50001:2018标准；</w:t>
            </w:r>
          </w:p>
          <w:p>
            <w:pPr>
              <w:snapToGrid w:val="0"/>
              <w:spacing w:line="0" w:lineRule="atLeast"/>
              <w:jc w:val="left"/>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☑&amp;</w:t>
            </w:r>
            <w:r>
              <w:rPr>
                <w:rFonts w:hint="eastAsia" w:ascii="Times New Roman" w:hAnsi="Times New Roman" w:eastAsia="宋体" w:cs="Times New Roman"/>
                <w:sz w:val="22"/>
                <w:szCs w:val="22"/>
                <w:lang w:val="de-DE" w:eastAsia="zh-CN"/>
              </w:rPr>
              <w:t xml:space="preserve">RB/T </w:t>
            </w:r>
            <w:r>
              <w:rPr>
                <w:rFonts w:hint="eastAsia" w:ascii="Times New Roman" w:hAnsi="Times New Roman" w:eastAsia="宋体" w:cs="Times New Roman"/>
                <w:sz w:val="22"/>
                <w:szCs w:val="22"/>
                <w:lang w:val="en-US" w:eastAsia="zh-CN"/>
              </w:rPr>
              <w:t>107-2013</w:t>
            </w:r>
            <w:r>
              <w:rPr>
                <w:rFonts w:hint="eastAsia" w:ascii="Times New Roman" w:hAnsi="Times New Roman" w:eastAsia="宋体" w:cs="Times New Roman"/>
                <w:sz w:val="22"/>
                <w:szCs w:val="22"/>
                <w:lang w:val="de-DE" w:eastAsia="zh-CN"/>
              </w:rPr>
              <w:t xml:space="preserve"> </w:t>
            </w:r>
            <w:r>
              <w:rPr>
                <w:rFonts w:hint="eastAsia" w:ascii="Times New Roman" w:hAnsi="Times New Roman" w:eastAsia="宋体" w:cs="Times New Roman"/>
                <w:sz w:val="22"/>
                <w:szCs w:val="22"/>
                <w:lang w:val="en-US" w:eastAsia="zh-CN"/>
              </w:rPr>
              <w:t>能源管理体系 公共建筑管理组织认证要求</w:t>
            </w:r>
            <w:r>
              <w:rPr>
                <w:rFonts w:hint="eastAsia" w:ascii="Times New Roman" w:hAnsi="Times New Roman" w:eastAsia="宋体" w:cs="Times New Roman"/>
                <w:sz w:val="22"/>
                <w:szCs w:val="22"/>
                <w:lang w:val="de-DE" w:eastAsia="zh-CN"/>
              </w:rPr>
              <w:t>行业认证标准</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 xml:space="preserve">              </w:t>
            </w:r>
          </w:p>
          <w:p>
            <w:pPr>
              <w:snapToGrid w:val="0"/>
              <w:spacing w:line="0" w:lineRule="atLeast"/>
              <w:jc w:val="left"/>
              <w:rPr>
                <w:rFonts w:hint="eastAsia" w:ascii="Times New Roman" w:hAnsi="Times New Roman" w:eastAsia="宋体" w:cs="Times New Roman"/>
                <w:sz w:val="22"/>
                <w:szCs w:val="22"/>
              </w:rPr>
            </w:pPr>
            <w:bookmarkStart w:id="9" w:name="F勾选"/>
            <w:r>
              <w:rPr>
                <w:rFonts w:hint="eastAsia" w:ascii="Times New Roman" w:hAnsi="Times New Roman" w:eastAsia="宋体" w:cs="Times New Roman"/>
                <w:sz w:val="22"/>
                <w:szCs w:val="22"/>
              </w:rPr>
              <w:t>□</w:t>
            </w:r>
            <w:bookmarkEnd w:id="9"/>
            <w:r>
              <w:rPr>
                <w:rFonts w:hint="eastAsia" w:ascii="Times New Roman" w:hAnsi="Times New Roman" w:eastAsia="宋体" w:cs="Times New Roman"/>
                <w:sz w:val="22"/>
                <w:szCs w:val="22"/>
              </w:rPr>
              <w:t>ISO 22000-2018</w:t>
            </w:r>
          </w:p>
          <w:p>
            <w:pPr>
              <w:snapToGrid w:val="0"/>
              <w:spacing w:line="0" w:lineRule="atLeast"/>
              <w:jc w:val="left"/>
              <w:rPr>
                <w:rFonts w:hint="eastAsia" w:ascii="Times New Roman" w:hAnsi="Times New Roman" w:eastAsia="宋体" w:cs="Times New Roman"/>
                <w:sz w:val="22"/>
                <w:szCs w:val="22"/>
              </w:rPr>
            </w:pPr>
            <w:bookmarkStart w:id="10" w:name="H勾选"/>
            <w:r>
              <w:rPr>
                <w:rFonts w:hint="eastAsia" w:ascii="Times New Roman" w:hAnsi="Times New Roman" w:eastAsia="宋体" w:cs="Times New Roman"/>
                <w:sz w:val="22"/>
                <w:szCs w:val="22"/>
              </w:rPr>
              <w:t>□</w:t>
            </w:r>
            <w:bookmarkEnd w:id="10"/>
            <w:r>
              <w:rPr>
                <w:rFonts w:hint="eastAsia" w:ascii="Times New Roman" w:hAnsi="Times New Roman" w:eastAsia="宋体" w:cs="Times New Roman"/>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江阴市建设物业管理有限公司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物业管理服务涉及相关能源管理活动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江苏省江阴市滨江中路245号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江苏省江阴市滨江中路245号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江阴市建设物业管理有限公司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R197EnMS210006</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江苏省江阴市滨江中路245号</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rFonts w:hint="eastAsia"/>
          <w:b/>
          <w:color w:val="000000" w:themeColor="text1"/>
          <w:sz w:val="22"/>
          <w:szCs w:val="22"/>
        </w:rPr>
      </w:pPr>
      <w:r>
        <w:rPr>
          <w:rFonts w:hint="eastAsia"/>
          <w:b/>
          <w:color w:val="000000"/>
          <w:sz w:val="22"/>
          <w:szCs w:val="22"/>
          <w:lang w:val="en-US" w:eastAsia="zh-CN"/>
        </w:rPr>
        <w:t>&amp;</w:t>
      </w:r>
      <w:r>
        <w:rPr>
          <w:rFonts w:hint="eastAsia" w:ascii="宋体" w:hAnsi="宋体" w:cs="Times New Roman"/>
          <w:b/>
          <w:sz w:val="21"/>
          <w:szCs w:val="21"/>
          <w:lang w:val="de-DE" w:eastAsia="zh-CN"/>
        </w:rPr>
        <w:t xml:space="preserve">RB/T </w:t>
      </w:r>
      <w:r>
        <w:rPr>
          <w:rFonts w:hint="eastAsia" w:ascii="宋体" w:hAnsi="宋体" w:cs="Times New Roman"/>
          <w:b/>
          <w:sz w:val="21"/>
          <w:szCs w:val="21"/>
          <w:lang w:val="en-US" w:eastAsia="zh-CN"/>
        </w:rPr>
        <w:t>107-2013</w:t>
      </w:r>
      <w:r>
        <w:rPr>
          <w:rFonts w:hint="eastAsia" w:ascii="宋体" w:hAnsi="宋体" w:cs="Times New Roman"/>
          <w:b/>
          <w:sz w:val="21"/>
          <w:szCs w:val="21"/>
          <w:lang w:val="de-DE" w:eastAsia="zh-CN"/>
        </w:rPr>
        <w:t xml:space="preserve"> </w:t>
      </w:r>
      <w:r>
        <w:rPr>
          <w:rFonts w:hint="eastAsia" w:ascii="宋体" w:hAnsi="宋体" w:cs="Times New Roman"/>
          <w:b/>
          <w:sz w:val="21"/>
          <w:szCs w:val="21"/>
          <w:lang w:val="en-US" w:eastAsia="zh-CN"/>
        </w:rPr>
        <w:t>能源管理体系 公共建筑管理组织认证要求</w:t>
      </w:r>
      <w:r>
        <w:rPr>
          <w:rFonts w:hint="eastAsia" w:ascii="宋体" w:hAnsi="宋体" w:cs="Times New Roman"/>
          <w:b/>
          <w:sz w:val="21"/>
          <w:szCs w:val="21"/>
          <w:lang w:val="de-DE" w:eastAsia="zh-CN"/>
        </w:rPr>
        <w:t>行业认证标准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审核类型及时间</w:t>
            </w:r>
          </w:p>
        </w:tc>
        <w:tc>
          <w:tcPr>
            <w:tcW w:w="4735"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w:t>
            </w:r>
            <w:r>
              <w:rPr>
                <w:rFonts w:hint="eastAsia" w:ascii="宋体" w:hAnsi="宋体"/>
                <w:b/>
                <w:color w:val="000000"/>
                <w:sz w:val="24"/>
                <w:szCs w:val="24"/>
                <w:lang w:val="en-US" w:eastAsia="zh-CN"/>
              </w:rPr>
              <w:t>源</w:t>
            </w:r>
            <w:r>
              <w:rPr>
                <w:rFonts w:hint="eastAsia" w:ascii="宋体" w:hAnsi="宋体"/>
                <w:b/>
                <w:color w:val="000000"/>
                <w:sz w:val="24"/>
                <w:szCs w:val="24"/>
              </w:rPr>
              <w:t>数据</w:t>
            </w:r>
          </w:p>
        </w:tc>
        <w:tc>
          <w:tcPr>
            <w:tcW w:w="2835"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FF"/>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2</w:t>
            </w:r>
            <w:r>
              <w:rPr>
                <w:rFonts w:hint="eastAsia"/>
                <w:sz w:val="20"/>
                <w:szCs w:val="22"/>
              </w:rPr>
              <w:t>月</w:t>
            </w:r>
          </w:p>
          <w:p>
            <w:pPr>
              <w:pStyle w:val="3"/>
              <w:spacing w:line="400" w:lineRule="exact"/>
              <w:ind w:firstLine="0"/>
              <w:rPr>
                <w:rFonts w:hint="default" w:ascii="宋体" w:hAnsi="宋体" w:eastAsia="宋体"/>
                <w:b/>
                <w:color w:val="000000"/>
                <w:sz w:val="24"/>
                <w:szCs w:val="24"/>
                <w:lang w:val="en-US" w:eastAsia="zh-CN"/>
              </w:rPr>
            </w:pPr>
            <w:r>
              <w:rPr>
                <w:rFonts w:hint="eastAsia"/>
                <w:sz w:val="20"/>
                <w:szCs w:val="22"/>
                <w:lang w:val="en-US" w:eastAsia="zh-CN"/>
              </w:rPr>
              <w:t>21</w:t>
            </w:r>
            <w:r>
              <w:rPr>
                <w:rFonts w:hint="eastAsia"/>
                <w:sz w:val="20"/>
                <w:szCs w:val="22"/>
              </w:rPr>
              <w:t>-</w:t>
            </w:r>
            <w:r>
              <w:rPr>
                <w:rFonts w:hint="eastAsia"/>
                <w:sz w:val="20"/>
                <w:szCs w:val="22"/>
                <w:lang w:val="en-US" w:eastAsia="zh-CN"/>
              </w:rPr>
              <w:t>24</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b/>
                <w:color w:val="000000"/>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noWrap w:val="0"/>
            <w:vAlign w:val="top"/>
          </w:tcPr>
          <w:p>
            <w:pPr>
              <w:pStyle w:val="3"/>
              <w:spacing w:line="400" w:lineRule="exact"/>
              <w:ind w:firstLine="0" w:firstLineChars="0"/>
              <w:rPr>
                <w:rFonts w:hint="eastAsia"/>
                <w:sz w:val="20"/>
                <w:szCs w:val="22"/>
              </w:rPr>
            </w:pPr>
            <w:r>
              <w:rPr>
                <w:rFonts w:hint="eastAsia"/>
                <w:sz w:val="20"/>
                <w:szCs w:val="22"/>
              </w:rPr>
              <w:t>江苏省江阴市滨江中路245号</w:t>
            </w:r>
          </w:p>
          <w:p>
            <w:pPr>
              <w:pStyle w:val="3"/>
              <w:spacing w:line="400" w:lineRule="exact"/>
              <w:ind w:firstLine="0" w:firstLineChars="0"/>
              <w:rPr>
                <w:rFonts w:hint="default" w:eastAsia="宋体"/>
                <w:sz w:val="20"/>
                <w:szCs w:val="22"/>
                <w:lang w:val="en-US" w:eastAsia="zh-CN"/>
              </w:rPr>
            </w:pPr>
            <w:r>
              <w:rPr>
                <w:rFonts w:hint="eastAsia"/>
                <w:sz w:val="20"/>
                <w:szCs w:val="22"/>
                <w:lang w:val="en-US" w:eastAsia="zh-CN"/>
              </w:rPr>
              <w:t>面积：226.8㎡</w:t>
            </w:r>
          </w:p>
          <w:p>
            <w:pPr>
              <w:pStyle w:val="3"/>
              <w:spacing w:line="400" w:lineRule="exact"/>
              <w:ind w:firstLine="0" w:firstLineChars="0"/>
              <w:rPr>
                <w:rFonts w:hint="default"/>
                <w:sz w:val="20"/>
                <w:szCs w:val="22"/>
                <w:lang w:val="en-US" w:eastAsia="zh-CN"/>
              </w:rPr>
            </w:pPr>
            <w:r>
              <w:rPr>
                <w:rFonts w:hint="eastAsia"/>
                <w:sz w:val="20"/>
                <w:szCs w:val="22"/>
                <w:lang w:val="en-US" w:eastAsia="zh-CN"/>
              </w:rPr>
              <w:t>江苏省江阴市澄江街道山前路95号：面积：4874.8㎡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firstLineChars="0"/>
              <w:rPr>
                <w:rFonts w:hint="eastAsia" w:ascii="宋体" w:hAnsi="宋体" w:eastAsia="宋体"/>
                <w:b/>
                <w:color w:val="000000"/>
                <w:szCs w:val="24"/>
                <w:lang w:eastAsia="zh-CN"/>
              </w:rPr>
            </w:pPr>
            <w:r>
              <w:rPr>
                <w:rFonts w:hint="eastAsia"/>
                <w:b/>
                <w:bCs/>
                <w:sz w:val="20"/>
                <w:lang w:val="en-US" w:eastAsia="zh-CN"/>
              </w:rPr>
              <w:t>产量或产值：294</w:t>
            </w:r>
            <w:r>
              <w:rPr>
                <w:rFonts w:hint="eastAsia"/>
                <w:sz w:val="20"/>
                <w:lang w:val="en-US" w:eastAsia="zh-CN"/>
              </w:rPr>
              <w:t>万元</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firstLineChars="0"/>
              <w:rPr>
                <w:rFonts w:hint="eastAsia"/>
                <w:b/>
                <w:bCs/>
                <w:sz w:val="20"/>
                <w:szCs w:val="22"/>
                <w:lang w:val="en-US" w:eastAsia="zh-CN"/>
              </w:rPr>
            </w:pPr>
            <w:r>
              <w:rPr>
                <w:rFonts w:hint="eastAsia"/>
                <w:b/>
                <w:bCs/>
                <w:sz w:val="20"/>
                <w:szCs w:val="22"/>
                <w:lang w:val="zh-CN" w:eastAsia="zh-CN"/>
              </w:rPr>
              <w:t>综合能耗：</w:t>
            </w:r>
            <w:r>
              <w:rPr>
                <w:rFonts w:hint="eastAsia"/>
                <w:b/>
                <w:bCs/>
                <w:sz w:val="20"/>
                <w:szCs w:val="22"/>
                <w:lang w:val="en-US" w:eastAsia="zh-CN"/>
              </w:rPr>
              <w:t xml:space="preserve">60221 kgce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firstLineChars="0"/>
              <w:rPr>
                <w:rFonts w:hint="eastAsia"/>
                <w:b/>
                <w:bCs/>
                <w:sz w:val="20"/>
                <w:szCs w:val="22"/>
                <w:lang w:val="zh-CN" w:eastAsia="zh-CN"/>
              </w:rPr>
            </w:pPr>
            <w:r>
              <w:rPr>
                <w:rFonts w:hint="eastAsia"/>
                <w:b/>
                <w:bCs/>
                <w:sz w:val="20"/>
                <w:szCs w:val="22"/>
                <w:lang w:val="en-US" w:eastAsia="zh-CN"/>
              </w:rPr>
              <w:t>单位能耗： 11.80Kgce/平方米、204Kgce/万元；</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sz w:val="20"/>
                <w:szCs w:val="22"/>
                <w:lang w:val="en-US" w:eastAsia="zh-CN"/>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2</w:t>
            </w:r>
            <w:r>
              <w:rPr>
                <w:rFonts w:hint="eastAsia"/>
                <w:sz w:val="20"/>
                <w:szCs w:val="22"/>
              </w:rPr>
              <w:t>月</w:t>
            </w:r>
          </w:p>
          <w:p>
            <w:pPr>
              <w:pStyle w:val="3"/>
              <w:spacing w:line="400" w:lineRule="exact"/>
              <w:ind w:firstLine="0"/>
              <w:rPr>
                <w:rFonts w:hint="default" w:ascii="宋体" w:hAnsi="宋体"/>
                <w:b/>
                <w:color w:val="000000"/>
                <w:sz w:val="24"/>
                <w:szCs w:val="24"/>
                <w:lang w:val="en-US"/>
              </w:rPr>
            </w:pPr>
            <w:r>
              <w:rPr>
                <w:rFonts w:hint="eastAsia"/>
                <w:sz w:val="20"/>
                <w:szCs w:val="22"/>
                <w:lang w:val="en-US" w:eastAsia="zh-CN"/>
              </w:rPr>
              <w:t>14</w:t>
            </w:r>
            <w:r>
              <w:rPr>
                <w:rFonts w:hint="eastAsia"/>
                <w:sz w:val="20"/>
                <w:szCs w:val="22"/>
              </w:rPr>
              <w:t>-</w:t>
            </w:r>
            <w:r>
              <w:rPr>
                <w:rFonts w:hint="eastAsia"/>
                <w:sz w:val="20"/>
                <w:szCs w:val="22"/>
                <w:lang w:val="en-US" w:eastAsia="zh-CN"/>
              </w:rPr>
              <w:t>15</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noWrap w:val="0"/>
            <w:vAlign w:val="top"/>
          </w:tcPr>
          <w:p>
            <w:pPr>
              <w:pStyle w:val="3"/>
              <w:spacing w:line="400" w:lineRule="exact"/>
              <w:ind w:firstLine="0" w:firstLineChars="0"/>
              <w:rPr>
                <w:rFonts w:hint="eastAsia"/>
                <w:sz w:val="20"/>
                <w:szCs w:val="22"/>
              </w:rPr>
            </w:pPr>
            <w:r>
              <w:rPr>
                <w:rFonts w:hint="eastAsia"/>
                <w:sz w:val="20"/>
                <w:szCs w:val="22"/>
              </w:rPr>
              <w:t>江苏省江阴市滨江中路245号</w:t>
            </w:r>
          </w:p>
          <w:p>
            <w:pPr>
              <w:pStyle w:val="3"/>
              <w:spacing w:line="400" w:lineRule="exact"/>
              <w:ind w:firstLine="0" w:firstLineChars="0"/>
              <w:rPr>
                <w:rFonts w:hint="default" w:eastAsia="宋体"/>
                <w:sz w:val="20"/>
                <w:szCs w:val="22"/>
                <w:lang w:val="en-US" w:eastAsia="zh-CN"/>
              </w:rPr>
            </w:pPr>
            <w:r>
              <w:rPr>
                <w:rFonts w:hint="eastAsia"/>
                <w:sz w:val="20"/>
                <w:szCs w:val="22"/>
                <w:lang w:val="en-US" w:eastAsia="zh-CN"/>
              </w:rPr>
              <w:t>面积：226.8㎡</w:t>
            </w:r>
          </w:p>
          <w:p>
            <w:pPr>
              <w:pStyle w:val="3"/>
              <w:spacing w:line="320" w:lineRule="exact"/>
              <w:ind w:firstLine="0"/>
              <w:rPr>
                <w:rFonts w:hint="eastAsia"/>
                <w:sz w:val="20"/>
                <w:szCs w:val="22"/>
                <w:lang w:val="en-US" w:eastAsia="zh-CN"/>
              </w:rPr>
            </w:pPr>
            <w:r>
              <w:rPr>
                <w:rFonts w:hint="eastAsia"/>
                <w:sz w:val="20"/>
                <w:szCs w:val="22"/>
                <w:lang w:val="en-US" w:eastAsia="zh-CN"/>
              </w:rPr>
              <w:t>江苏省江阴市澄江街道山前路95号：面积：4874.8㎡</w:t>
            </w:r>
          </w:p>
          <w:p>
            <w:pPr>
              <w:pStyle w:val="3"/>
              <w:spacing w:line="320" w:lineRule="exact"/>
              <w:ind w:firstLine="0"/>
              <w:rPr>
                <w:rFonts w:hint="eastAsia"/>
                <w:sz w:val="20"/>
                <w:szCs w:val="22"/>
                <w:lang w:val="en-US" w:eastAsia="zh-CN"/>
              </w:rPr>
            </w:pPr>
          </w:p>
          <w:p>
            <w:pPr>
              <w:pStyle w:val="3"/>
              <w:spacing w:line="320" w:lineRule="exact"/>
              <w:ind w:firstLine="0"/>
              <w:rPr>
                <w:rFonts w:hint="default"/>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default" w:eastAsia="宋体"/>
                <w:b/>
                <w:bCs/>
                <w:sz w:val="20"/>
                <w:lang w:val="en-US" w:eastAsia="zh-CN"/>
              </w:rPr>
            </w:pPr>
            <w:r>
              <w:rPr>
                <w:rFonts w:hint="eastAsia"/>
                <w:b/>
                <w:bCs/>
                <w:sz w:val="20"/>
                <w:lang w:val="en-US" w:eastAsia="zh-CN"/>
              </w:rPr>
              <w:t>产量或产值：266</w:t>
            </w:r>
            <w:r>
              <w:rPr>
                <w:rFonts w:hint="eastAsia"/>
                <w:sz w:val="20"/>
                <w:lang w:val="en-US" w:eastAsia="zh-CN"/>
              </w:rPr>
              <w:t>万元</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30447kgce</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b/>
                <w:bCs/>
                <w:sz w:val="20"/>
                <w:szCs w:val="22"/>
                <w:lang w:val="en-US" w:eastAsia="zh-CN"/>
              </w:rPr>
            </w:pPr>
            <w:r>
              <w:rPr>
                <w:rFonts w:hint="eastAsia"/>
                <w:b/>
                <w:bCs/>
                <w:sz w:val="20"/>
                <w:szCs w:val="22"/>
                <w:lang w:val="en-US" w:eastAsia="zh-CN"/>
              </w:rPr>
              <w:t>单位能耗：5.97Kgce/平方米、 114K</w:t>
            </w:r>
            <w:bookmarkStart w:id="23" w:name="_GoBack"/>
            <w:bookmarkEnd w:id="23"/>
            <w:r>
              <w:rPr>
                <w:rFonts w:hint="eastAsia"/>
                <w:b/>
                <w:bCs/>
                <w:sz w:val="20"/>
                <w:szCs w:val="22"/>
                <w:lang w:val="en-US" w:eastAsia="zh-CN"/>
              </w:rPr>
              <w:t>gce/万元；</w:t>
            </w:r>
          </w:p>
          <w:p>
            <w:pPr>
              <w:rPr>
                <w:rFonts w:ascii="宋体" w:hAnsi="宋体" w:eastAsia="宋体" w:cs="Times New Roman"/>
                <w:b/>
                <w:color w:val="000000"/>
                <w:kern w:val="2"/>
                <w:sz w:val="24"/>
                <w:szCs w:val="24"/>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lang w:val="en-US" w:eastAsia="zh-CN"/>
              </w:rPr>
              <w:t>XX~XX</w:t>
            </w:r>
            <w:r>
              <w:rPr>
                <w:rFonts w:hint="eastAsia"/>
                <w:sz w:val="20"/>
                <w:szCs w:val="22"/>
              </w:rPr>
              <w:t>日</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noWrap w:val="0"/>
            <w:vAlign w:val="top"/>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default" w:eastAsia="宋体"/>
                <w:b/>
                <w:bCs/>
                <w:sz w:val="20"/>
                <w:lang w:val="en-US" w:eastAsia="zh-CN"/>
              </w:rPr>
            </w:pPr>
            <w:r>
              <w:rPr>
                <w:rFonts w:hint="eastAsia"/>
                <w:b/>
                <w:bCs/>
                <w:sz w:val="20"/>
                <w:lang w:val="en-US" w:eastAsia="zh-CN"/>
              </w:rPr>
              <w:t>产量或产值：</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eastAsia"/>
                <w:b/>
                <w:bCs/>
                <w:sz w:val="20"/>
                <w:szCs w:val="22"/>
                <w:lang w:val="zh-CN"/>
              </w:rPr>
            </w:pPr>
            <w:r>
              <w:rPr>
                <w:rFonts w:hint="eastAsia"/>
                <w:b/>
                <w:bCs/>
                <w:sz w:val="20"/>
                <w:szCs w:val="22"/>
                <w:lang w:val="zh-CN"/>
              </w:rPr>
              <w:t>综合能耗：</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kern w:val="2"/>
                <w:sz w:val="24"/>
                <w:szCs w:val="24"/>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noWrap w:val="0"/>
            <w:vAlign w:val="top"/>
          </w:tcPr>
          <w:p>
            <w:pPr>
              <w:pStyle w:val="3"/>
              <w:spacing w:line="320" w:lineRule="exact"/>
              <w:ind w:firstLine="0"/>
              <w:rPr>
                <w:rFonts w:hint="eastAsia"/>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2F2DFF"/>
    <w:rsid w:val="75D540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2022-02-15T02:12:19Z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