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eastAsia="宋体"/>
          <w:b/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EnMS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11"/>
        <w:gridCol w:w="15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江阴市建设物业管理</w:t>
            </w:r>
            <w:r>
              <w:rPr>
                <w:rFonts w:hint="eastAsia" w:ascii="宋体" w:hAnsi="宋体"/>
                <w:szCs w:val="21"/>
              </w:rPr>
              <w:t>有限公司</w:t>
            </w:r>
          </w:p>
        </w:tc>
        <w:tc>
          <w:tcPr>
            <w:tcW w:w="15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9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EnMS：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黄平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Cs w:val="21"/>
              </w:rPr>
              <w:t>服务过程策划→投标洽谈→签到合同→人员配置→提供物业服务→处理投诉、业主回访→评价、改进服务质量</w:t>
            </w:r>
            <w:r>
              <w:rPr>
                <w:rFonts w:hint="eastAsia" w:ascii="宋体" w:hAnsi="宋体"/>
                <w:bCs/>
                <w:color w:val="262626"/>
                <w:szCs w:val="21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能耗种类</w:t>
            </w:r>
            <w:r>
              <w:rPr>
                <w:rFonts w:hint="eastAsia"/>
                <w:szCs w:val="21"/>
              </w:rPr>
              <w:t>：电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能源参数：kgce/平方米（年）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1、《中华人民共和国电力法》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2、《中华人民共和国节约能源法》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3、《中华人民共和国清洁生产法》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4、《中华人民共和国可再生能源法》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5、《国家重点节能技术推广目录（1-6 批）》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Cs w:val="21"/>
              </w:rPr>
              <w:t>、《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用能单位</w:t>
            </w:r>
            <w:r>
              <w:rPr>
                <w:rFonts w:ascii="Times New Roman" w:hAnsi="Times New Roman" w:eastAsia="宋体" w:cs="Times New Roman"/>
                <w:szCs w:val="21"/>
              </w:rPr>
              <w:t>节能量计算方法</w: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1"/>
              </w:rPr>
              <w:instrText xml:space="preserve"> HYPERLINK "http://www.csres.com/detail/204647.html" \h </w:instrTex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1"/>
              </w:rPr>
              <w:t>GB/T 13234-20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Cs w:val="21"/>
              </w:rPr>
              <w:t>、《企业能量平衡统计方法</w: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1"/>
              </w:rPr>
              <w:instrText xml:space="preserve"> HYPERLINK "http://www.csres.com/detail/56381.html" \h </w:instrTex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1"/>
              </w:rPr>
              <w:t>GB/T 16614-1996</w: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、《企业能量平衡表编制方法 </w: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1"/>
              </w:rPr>
              <w:instrText xml:space="preserve"> HYPERLINK "http://www.csres.com/detail/227580.html" \h </w:instrTex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1"/>
              </w:rPr>
              <w:t>GB/T 28751-2012</w: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Cs w:val="21"/>
              </w:rPr>
              <w:t>、企业能源平衡通则（GB3484-2009）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、节能监测技术通则（GB/T15316-2009）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、电力变压器经济运行（GB13462-2008）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、用能单位能源计量器具配备与管理通则（GB/T17167-2006）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-200660</wp:posOffset>
                  </wp:positionV>
                  <wp:extent cx="882650" cy="571500"/>
                  <wp:effectExtent l="0" t="0" r="6350" b="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29845</wp:posOffset>
                  </wp:positionV>
                  <wp:extent cx="480695" cy="427990"/>
                  <wp:effectExtent l="0" t="0" r="1905" b="3810"/>
                  <wp:wrapSquare wrapText="bothSides"/>
                  <wp:docPr id="1" name="图片 2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5455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2022-02-15T06:16:13Z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2052-11.1.0.10667</vt:lpwstr>
  </property>
</Properties>
</file>