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0148-2021-F-2022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南京康智和农产品有限公司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197FSMS2100007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91320115MA1MY5R77K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□带标 </w:t>
            </w:r>
            <w:r>
              <w:rPr>
                <w:rFonts w:hint="eastAsia"/>
                <w:sz w:val="22"/>
                <w:szCs w:val="22"/>
              </w:rPr>
              <w:sym w:font="Wingdings 2" w:char="00A3"/>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keepNext w:val="0"/>
              <w:keepLines w:val="0"/>
              <w:pageBreakBefore w:val="0"/>
              <w:widowControl w:val="0"/>
              <w:kinsoku/>
              <w:wordWrap/>
              <w:overflowPunct/>
              <w:topLinePunct w:val="0"/>
              <w:autoSpaceDE/>
              <w:autoSpaceDN/>
              <w:bidi w:val="0"/>
              <w:adjustRightInd/>
              <w:snapToGrid w:val="0"/>
              <w:spacing w:line="220" w:lineRule="exact"/>
              <w:jc w:val="left"/>
              <w:textAlignment w:val="auto"/>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keepNext w:val="0"/>
              <w:keepLines w:val="0"/>
              <w:pageBreakBefore w:val="0"/>
              <w:widowControl w:val="0"/>
              <w:kinsoku/>
              <w:wordWrap/>
              <w:overflowPunct/>
              <w:topLinePunct w:val="0"/>
              <w:autoSpaceDE/>
              <w:autoSpaceDN/>
              <w:bidi w:val="0"/>
              <w:adjustRightInd/>
              <w:snapToGrid w:val="0"/>
              <w:spacing w:line="220" w:lineRule="exact"/>
              <w:jc w:val="left"/>
              <w:textAlignment w:val="auto"/>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keepNext w:val="0"/>
              <w:keepLines w:val="0"/>
              <w:pageBreakBefore w:val="0"/>
              <w:widowControl w:val="0"/>
              <w:kinsoku/>
              <w:wordWrap/>
              <w:overflowPunct/>
              <w:topLinePunct w:val="0"/>
              <w:autoSpaceDE/>
              <w:autoSpaceDN/>
              <w:bidi w:val="0"/>
              <w:adjustRightInd/>
              <w:snapToGrid w:val="0"/>
              <w:spacing w:line="220" w:lineRule="exact"/>
              <w:jc w:val="left"/>
              <w:textAlignment w:val="auto"/>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keepNext w:val="0"/>
              <w:keepLines w:val="0"/>
              <w:pageBreakBefore w:val="0"/>
              <w:widowControl w:val="0"/>
              <w:kinsoku/>
              <w:wordWrap/>
              <w:overflowPunct/>
              <w:topLinePunct w:val="0"/>
              <w:autoSpaceDE/>
              <w:autoSpaceDN/>
              <w:bidi w:val="0"/>
              <w:adjustRightInd/>
              <w:snapToGrid w:val="0"/>
              <w:spacing w:line="220" w:lineRule="exact"/>
              <w:jc w:val="left"/>
              <w:textAlignment w:val="auto"/>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keepNext w:val="0"/>
              <w:keepLines w:val="0"/>
              <w:pageBreakBefore w:val="0"/>
              <w:widowControl w:val="0"/>
              <w:kinsoku/>
              <w:wordWrap/>
              <w:overflowPunct/>
              <w:topLinePunct w:val="0"/>
              <w:autoSpaceDE/>
              <w:autoSpaceDN/>
              <w:bidi w:val="0"/>
              <w:adjustRightInd/>
              <w:snapToGrid w:val="0"/>
              <w:spacing w:line="220" w:lineRule="exact"/>
              <w:jc w:val="left"/>
              <w:textAlignment w:val="auto"/>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keepNext w:val="0"/>
              <w:keepLines w:val="0"/>
              <w:pageBreakBefore w:val="0"/>
              <w:widowControl w:val="0"/>
              <w:kinsoku/>
              <w:wordWrap/>
              <w:overflowPunct/>
              <w:topLinePunct w:val="0"/>
              <w:autoSpaceDE/>
              <w:autoSpaceDN/>
              <w:bidi w:val="0"/>
              <w:adjustRightInd/>
              <w:snapToGrid w:val="0"/>
              <w:spacing w:line="220" w:lineRule="exact"/>
              <w:jc w:val="left"/>
              <w:textAlignment w:val="auto"/>
              <w:rPr>
                <w:sz w:val="22"/>
                <w:szCs w:val="22"/>
              </w:rPr>
            </w:pPr>
            <w:r>
              <w:rPr>
                <w:rFonts w:hint="eastAsia"/>
                <w:sz w:val="22"/>
                <w:szCs w:val="22"/>
              </w:rPr>
              <w:t xml:space="preserve">□RB/T XXXX-XXXX                     </w:t>
            </w:r>
          </w:p>
          <w:p>
            <w:pPr>
              <w:keepNext w:val="0"/>
              <w:keepLines w:val="0"/>
              <w:pageBreakBefore w:val="0"/>
              <w:widowControl w:val="0"/>
              <w:kinsoku/>
              <w:wordWrap/>
              <w:overflowPunct/>
              <w:topLinePunct w:val="0"/>
              <w:autoSpaceDE/>
              <w:autoSpaceDN/>
              <w:bidi w:val="0"/>
              <w:adjustRightInd/>
              <w:snapToGrid w:val="0"/>
              <w:spacing w:line="220" w:lineRule="exact"/>
              <w:jc w:val="left"/>
              <w:textAlignment w:val="auto"/>
              <w:rPr>
                <w:sz w:val="22"/>
                <w:szCs w:val="22"/>
              </w:rPr>
            </w:pPr>
            <w:bookmarkStart w:id="10" w:name="F勾选"/>
            <w:r>
              <w:rPr>
                <w:rFonts w:hint="eastAsia"/>
                <w:sz w:val="22"/>
                <w:szCs w:val="22"/>
              </w:rPr>
              <w:t>■</w:t>
            </w:r>
            <w:bookmarkEnd w:id="10"/>
            <w:r>
              <w:rPr>
                <w:rFonts w:hint="eastAsia"/>
                <w:sz w:val="22"/>
                <w:szCs w:val="22"/>
              </w:rPr>
              <w:t>ISO 22000</w:t>
            </w:r>
            <w:r>
              <w:rPr>
                <w:rFonts w:hint="eastAsia"/>
                <w:sz w:val="22"/>
                <w:szCs w:val="22"/>
                <w:lang w:eastAsia="zh-CN"/>
              </w:rPr>
              <w:t>：</w:t>
            </w:r>
            <w:r>
              <w:rPr>
                <w:rFonts w:hint="eastAsia"/>
                <w:sz w:val="22"/>
                <w:szCs w:val="22"/>
              </w:rPr>
              <w:t>2018</w:t>
            </w:r>
          </w:p>
          <w:p>
            <w:pPr>
              <w:keepNext w:val="0"/>
              <w:keepLines w:val="0"/>
              <w:pageBreakBefore w:val="0"/>
              <w:widowControl w:val="0"/>
              <w:kinsoku/>
              <w:wordWrap/>
              <w:overflowPunct/>
              <w:topLinePunct w:val="0"/>
              <w:autoSpaceDE/>
              <w:autoSpaceDN/>
              <w:bidi w:val="0"/>
              <w:adjustRightInd/>
              <w:snapToGrid w:val="0"/>
              <w:spacing w:line="220" w:lineRule="exact"/>
              <w:jc w:val="left"/>
              <w:textAlignment w:val="auto"/>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default" w:eastAsia="宋体"/>
                <w:sz w:val="22"/>
                <w:szCs w:val="22"/>
                <w:lang w:val="en-US" w:eastAsia="zh-CN"/>
              </w:rPr>
            </w:pPr>
            <w:r>
              <w:rPr>
                <w:rFonts w:hint="eastAsia"/>
                <w:sz w:val="22"/>
                <w:szCs w:val="2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南京康智和农产品有限公司</w:t>
            </w:r>
            <w:bookmarkEnd w:id="16"/>
          </w:p>
        </w:tc>
        <w:tc>
          <w:tcPr>
            <w:tcW w:w="5013" w:type="dxa"/>
            <w:gridSpan w:val="4"/>
            <w:vMerge w:val="restart"/>
          </w:tcPr>
          <w:p>
            <w:pPr>
              <w:snapToGrid w:val="0"/>
              <w:spacing w:line="360" w:lineRule="auto"/>
              <w:jc w:val="left"/>
              <w:rPr>
                <w:sz w:val="22"/>
                <w:szCs w:val="22"/>
              </w:rPr>
            </w:pPr>
            <w:r>
              <w:rPr>
                <w:rFonts w:hint="eastAsia"/>
                <w:sz w:val="22"/>
                <w:szCs w:val="22"/>
              </w:rPr>
              <w:t>位于江苏省南京市江宁区东山街道古庙北路1号南京康智和农产品有限公司的预包装食品（含冷藏冷冻食品）销售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南京市江宁区东山街道古庙北路1号</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US" w:eastAsia="zh-CN"/>
              </w:rPr>
              <w:t>江苏省</w:t>
            </w:r>
            <w:r>
              <w:rPr>
                <w:rFonts w:hint="eastAsia"/>
                <w:sz w:val="22"/>
                <w:szCs w:val="22"/>
                <w:lang w:val="en-GB"/>
              </w:rPr>
              <w:t>南京市江宁区东山街道古庙北路1号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eastAsia="宋体"/>
                <w:sz w:val="22"/>
                <w:szCs w:val="22"/>
                <w:lang w:eastAsia="zh-CN"/>
              </w:rPr>
            </w:pPr>
            <w:r>
              <w:rPr>
                <w:rFonts w:hint="eastAsia" w:cs="Arial"/>
                <w:b/>
                <w:bCs/>
                <w:sz w:val="22"/>
                <w:szCs w:val="16"/>
                <w:lang w:eastAsia="zh-CN"/>
              </w:rPr>
              <w:t>——</w:t>
            </w:r>
          </w:p>
        </w:tc>
        <w:tc>
          <w:tcPr>
            <w:tcW w:w="1337" w:type="dxa"/>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rPr>
            </w:pPr>
            <w:r>
              <w:rPr>
                <w:rFonts w:hint="eastAsia"/>
                <w:sz w:val="22"/>
                <w:szCs w:val="22"/>
              </w:rPr>
              <w:t>QMS/EcMS</w:t>
            </w:r>
          </w:p>
        </w:tc>
        <w:tc>
          <w:tcPr>
            <w:tcW w:w="3676" w:type="dxa"/>
            <w:gridSpan w:val="3"/>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1576" w:type="dxa"/>
            <w:vMerge w:val="continue"/>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cs="Arial"/>
                <w:b/>
                <w:bCs/>
                <w:sz w:val="22"/>
                <w:szCs w:val="16"/>
              </w:rPr>
            </w:pPr>
          </w:p>
        </w:tc>
        <w:tc>
          <w:tcPr>
            <w:tcW w:w="3373" w:type="dxa"/>
            <w:vMerge w:val="continue"/>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cs="Arial"/>
                <w:b/>
                <w:bCs/>
                <w:sz w:val="22"/>
                <w:szCs w:val="16"/>
              </w:rPr>
            </w:pPr>
          </w:p>
        </w:tc>
        <w:tc>
          <w:tcPr>
            <w:tcW w:w="1337" w:type="dxa"/>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rPr>
            </w:pPr>
            <w:r>
              <w:rPr>
                <w:rFonts w:hint="eastAsia"/>
                <w:sz w:val="22"/>
                <w:szCs w:val="22"/>
              </w:rPr>
              <w:t>EMS</w:t>
            </w:r>
          </w:p>
        </w:tc>
        <w:tc>
          <w:tcPr>
            <w:tcW w:w="3676" w:type="dxa"/>
            <w:gridSpan w:val="3"/>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eastAsia="宋体"/>
                <w:sz w:val="22"/>
                <w:szCs w:val="22"/>
                <w:lang w:eastAsia="zh-CN"/>
              </w:rPr>
            </w:pPr>
            <w:r>
              <w:rPr>
                <w:rFonts w:hint="eastAsia" w:cs="Arial"/>
                <w:b/>
                <w:bCs/>
                <w:sz w:val="22"/>
                <w:szCs w:val="16"/>
                <w:lang w:eastAsia="zh-CN"/>
              </w:rPr>
              <w:t>——</w:t>
            </w:r>
          </w:p>
        </w:tc>
        <w:tc>
          <w:tcPr>
            <w:tcW w:w="1337" w:type="dxa"/>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rPr>
            </w:pPr>
            <w:r>
              <w:rPr>
                <w:rFonts w:hint="eastAsia"/>
                <w:sz w:val="22"/>
                <w:szCs w:val="22"/>
              </w:rPr>
              <w:t>OHSMS</w:t>
            </w:r>
          </w:p>
        </w:tc>
        <w:tc>
          <w:tcPr>
            <w:tcW w:w="3676" w:type="dxa"/>
            <w:gridSpan w:val="3"/>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576" w:type="dxa"/>
            <w:vMerge w:val="continue"/>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16"/>
              </w:rPr>
            </w:pPr>
          </w:p>
        </w:tc>
        <w:tc>
          <w:tcPr>
            <w:tcW w:w="3373" w:type="dxa"/>
            <w:vMerge w:val="continue"/>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cs="Arial"/>
                <w:b/>
                <w:bCs/>
                <w:sz w:val="22"/>
                <w:szCs w:val="16"/>
              </w:rPr>
            </w:pPr>
          </w:p>
        </w:tc>
        <w:tc>
          <w:tcPr>
            <w:tcW w:w="1337" w:type="dxa"/>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rPr>
            </w:pPr>
            <w:r>
              <w:rPr>
                <w:rFonts w:hint="eastAsia"/>
                <w:sz w:val="22"/>
                <w:szCs w:val="22"/>
              </w:rPr>
              <w:t>EnMS</w:t>
            </w:r>
          </w:p>
        </w:tc>
        <w:tc>
          <w:tcPr>
            <w:tcW w:w="3676" w:type="dxa"/>
            <w:gridSpan w:val="3"/>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eastAsia="宋体"/>
                <w:sz w:val="22"/>
                <w:szCs w:val="22"/>
                <w:lang w:eastAsia="zh-CN"/>
              </w:rPr>
            </w:pPr>
            <w:r>
              <w:rPr>
                <w:rFonts w:hint="eastAsia" w:cs="Arial"/>
                <w:b/>
                <w:bCs/>
                <w:sz w:val="22"/>
                <w:szCs w:val="16"/>
                <w:lang w:eastAsia="zh-CN"/>
              </w:rPr>
              <w:t>——</w:t>
            </w:r>
          </w:p>
        </w:tc>
        <w:tc>
          <w:tcPr>
            <w:tcW w:w="1337" w:type="dxa"/>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rPr>
            </w:pPr>
            <w:r>
              <w:rPr>
                <w:rFonts w:hint="eastAsia"/>
                <w:sz w:val="22"/>
                <w:szCs w:val="22"/>
              </w:rPr>
              <w:t>FSMS</w:t>
            </w:r>
          </w:p>
        </w:tc>
        <w:tc>
          <w:tcPr>
            <w:tcW w:w="3676" w:type="dxa"/>
            <w:gridSpan w:val="3"/>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76" w:type="dxa"/>
            <w:vMerge w:val="continue"/>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cs="Arial"/>
                <w:b/>
                <w:bCs/>
                <w:sz w:val="22"/>
                <w:szCs w:val="16"/>
              </w:rPr>
            </w:pPr>
          </w:p>
        </w:tc>
        <w:tc>
          <w:tcPr>
            <w:tcW w:w="3373" w:type="dxa"/>
            <w:vMerge w:val="continue"/>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cs="Arial"/>
                <w:b/>
                <w:bCs/>
                <w:sz w:val="22"/>
                <w:szCs w:val="16"/>
              </w:rPr>
            </w:pPr>
          </w:p>
        </w:tc>
        <w:tc>
          <w:tcPr>
            <w:tcW w:w="1337" w:type="dxa"/>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rPr>
            </w:pPr>
            <w:r>
              <w:rPr>
                <w:rFonts w:hint="eastAsia"/>
                <w:sz w:val="22"/>
                <w:szCs w:val="22"/>
              </w:rPr>
              <w:t>HACCP</w:t>
            </w:r>
          </w:p>
        </w:tc>
        <w:tc>
          <w:tcPr>
            <w:tcW w:w="3676" w:type="dxa"/>
            <w:gridSpan w:val="3"/>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240" w:lineRule="auto"/>
        <w:rPr>
          <w:sz w:val="21"/>
          <w:szCs w:val="21"/>
        </w:rPr>
      </w:pPr>
      <w:r>
        <w:rPr>
          <w:rFonts w:hint="eastAsia"/>
          <w:sz w:val="21"/>
          <w:szCs w:val="21"/>
        </w:rPr>
        <w:t>注：</w:t>
      </w:r>
    </w:p>
    <w:p>
      <w:pPr>
        <w:snapToGrid w:val="0"/>
        <w:spacing w:line="240" w:lineRule="auto"/>
        <w:rPr>
          <w:sz w:val="21"/>
          <w:szCs w:val="21"/>
        </w:rPr>
      </w:pPr>
      <w:r>
        <w:rPr>
          <w:rFonts w:hint="eastAsia"/>
          <w:sz w:val="21"/>
          <w:szCs w:val="21"/>
        </w:rPr>
        <w:t>1、填写本说明并不代表贵单位已通过认证；</w:t>
      </w:r>
    </w:p>
    <w:p>
      <w:pPr>
        <w:snapToGrid w:val="0"/>
        <w:spacing w:line="240" w:lineRule="auto"/>
        <w:rPr>
          <w:sz w:val="21"/>
          <w:szCs w:val="21"/>
        </w:rPr>
      </w:pPr>
      <w:r>
        <w:rPr>
          <w:rFonts w:hint="eastAsia"/>
          <w:sz w:val="21"/>
          <w:szCs w:val="21"/>
        </w:rPr>
        <w:t>2、本说明中填写的管理体系覆盖范围，应与末次会议上宣布的及审核报告上确认的范围一致；</w:t>
      </w:r>
    </w:p>
    <w:p>
      <w:pPr>
        <w:snapToGrid w:val="0"/>
        <w:spacing w:line="240" w:lineRule="auto"/>
        <w:rPr>
          <w:sz w:val="21"/>
          <w:szCs w:val="21"/>
        </w:rPr>
      </w:pPr>
      <w:r>
        <w:rPr>
          <w:rFonts w:hint="eastAsia"/>
          <w:sz w:val="21"/>
          <w:szCs w:val="21"/>
        </w:rPr>
        <w:t>3、请在申请认证组织名称处加盖公章；</w:t>
      </w:r>
    </w:p>
    <w:p>
      <w:pPr>
        <w:snapToGrid w:val="0"/>
        <w:spacing w:line="240" w:lineRule="auto"/>
        <w:rPr>
          <w:sz w:val="21"/>
          <w:szCs w:val="21"/>
        </w:rPr>
      </w:pPr>
      <w:r>
        <w:rPr>
          <w:rFonts w:hint="eastAsia"/>
          <w:sz w:val="21"/>
          <w:szCs w:val="21"/>
        </w:rPr>
        <w:t>4、组织三个地址一致时只需填写一个，其余填“同上”，不同时分别填写；</w:t>
      </w:r>
    </w:p>
    <w:p>
      <w:pPr>
        <w:snapToGrid w:val="0"/>
        <w:spacing w:line="240" w:lineRule="auto"/>
        <w:rPr>
          <w:sz w:val="21"/>
          <w:szCs w:val="21"/>
        </w:rPr>
      </w:pPr>
      <w:r>
        <w:rPr>
          <w:rFonts w:hint="eastAsia"/>
          <w:sz w:val="21"/>
          <w:szCs w:val="21"/>
        </w:rPr>
        <w:t>5、组织需自行提供英文版认证证书信息。</w:t>
      </w:r>
    </w:p>
    <w:p>
      <w:pPr>
        <w:snapToGrid w:val="0"/>
        <w:spacing w:line="240" w:lineRule="auto"/>
        <w:rPr>
          <w:sz w:val="21"/>
          <w:szCs w:val="21"/>
        </w:rPr>
      </w:pPr>
      <w:r>
        <w:rPr>
          <w:rFonts w:hint="eastAsia"/>
          <w:sz w:val="21"/>
          <w:szCs w:val="21"/>
        </w:rPr>
        <w:t>6、组织如不能自行提供英文信息的，公司可协助翻译，组织需缴纳翻译费200元；</w:t>
      </w:r>
    </w:p>
    <w:p>
      <w:pPr>
        <w:snapToGrid w:val="0"/>
        <w:spacing w:line="240" w:lineRule="auto"/>
        <w:rPr>
          <w:b/>
          <w:color w:val="000000" w:themeColor="text1"/>
          <w:sz w:val="18"/>
          <w:szCs w:val="18"/>
          <w:lang w:val="en-GB"/>
        </w:rPr>
      </w:pPr>
      <w:r>
        <w:rPr>
          <w:rFonts w:hint="eastAsia"/>
          <w:sz w:val="21"/>
          <w:szCs w:val="21"/>
        </w:rPr>
        <w:t>7、翻译费用可直接与审核费用一同汇入我公司账户或由审核组长从现场带回。</w:t>
      </w:r>
      <w:bookmarkStart w:id="19" w:name="_GoBack"/>
      <w:bookmarkEnd w:id="19"/>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C642972"/>
    <w:rsid w:val="7E0D7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9</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2022-02-19T07:35:52Z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