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0040-2022-QEO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河北宏烽科技服务有限公司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河北宏烽科技服务有限公司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河北省石家庄市新华区新华路505号盛世天骄花苑1-3-2202室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 xml:space="preserve">经营地址1：河北省石家庄市新华区新华路505号盛世天骄花苑1-3-2202室               </w:t>
            </w:r>
          </w:p>
          <w:p>
            <w:r>
              <w:t>经营地址2：河北省石家庄市新华区新华西路539号神兴综合楼501室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rPr>
                <w:sz w:val="21"/>
                <w:szCs w:val="21"/>
              </w:rPr>
              <w:t>高</w:t>
            </w:r>
            <w:bookmarkEnd w:id="10"/>
            <w:r>
              <w:rPr>
                <w:rFonts w:hint="eastAsia"/>
                <w:sz w:val="21"/>
                <w:szCs w:val="21"/>
                <w:lang w:val="en-US" w:eastAsia="zh-CN"/>
              </w:rPr>
              <w:t>照峰</w:t>
            </w:r>
          </w:p>
        </w:tc>
        <w:tc>
          <w:tcPr>
            <w:tcW w:w="1313" w:type="dxa"/>
            <w:vAlign w:val="center"/>
          </w:tcPr>
          <w:p>
            <w:r>
              <w:rPr>
                <w:rFonts w:hint="eastAsia"/>
              </w:rPr>
              <w:t>电话.</w:t>
            </w:r>
          </w:p>
        </w:tc>
        <w:tc>
          <w:tcPr>
            <w:tcW w:w="2180" w:type="dxa"/>
            <w:vAlign w:val="center"/>
          </w:tcPr>
          <w:p>
            <w:bookmarkStart w:id="11" w:name="联系人电话"/>
            <w:r>
              <w:t>18931973939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孙学义</w:t>
            </w:r>
            <w:bookmarkEnd w:id="13"/>
          </w:p>
        </w:tc>
        <w:tc>
          <w:tcPr>
            <w:tcW w:w="1313" w:type="dxa"/>
            <w:vAlign w:val="center"/>
          </w:tcPr>
          <w:p>
            <w:r>
              <w:rPr>
                <w:rFonts w:hint="eastAsia"/>
              </w:rPr>
              <w:t>管理者代表</w:t>
            </w:r>
          </w:p>
        </w:tc>
        <w:tc>
          <w:tcPr>
            <w:tcW w:w="2180" w:type="dxa"/>
          </w:tcPr>
          <w:p>
            <w:r>
              <w:rPr>
                <w:sz w:val="21"/>
                <w:szCs w:val="21"/>
              </w:rPr>
              <w:t>高</w:t>
            </w:r>
            <w:r>
              <w:rPr>
                <w:rFonts w:hint="eastAsia"/>
                <w:sz w:val="21"/>
                <w:szCs w:val="21"/>
                <w:lang w:val="en-US" w:eastAsia="zh-CN"/>
              </w:rPr>
              <w:t>照峰</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b/>
                <w:sz w:val="20"/>
                <w:szCs w:val="22"/>
                <w:lang w:val="en-US" w:eastAsia="zh-CN"/>
              </w:rPr>
              <w:t>业务洽谈―签订合同―产品采购―发货至顾客指定地址― 验收―结算</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331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2022年02月12日 下午至2022年02月14日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sz w:val="21"/>
                <w:szCs w:val="21"/>
              </w:rPr>
            </w:pPr>
            <w:r>
              <w:rPr>
                <w:sz w:val="21"/>
                <w:szCs w:val="21"/>
              </w:rPr>
              <w:t>河北省石家庄市新华区新华路505号盛世天骄花苑1-3-2202室</w:t>
            </w:r>
          </w:p>
          <w:p>
            <w:pPr>
              <w:rPr>
                <w:rFonts w:ascii="宋体"/>
                <w:b/>
                <w:color w:val="0000FF"/>
                <w:szCs w:val="21"/>
              </w:rPr>
            </w:pPr>
            <w:r>
              <w:rPr>
                <w:sz w:val="21"/>
                <w:szCs w:val="21"/>
              </w:rPr>
              <w:t>河北省石家庄市新华区新华西路539号神兴综合楼501室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7056" w:type="dxa"/>
            <w:gridSpan w:val="3"/>
            <w:vMerge w:val="restart"/>
            <w:vAlign w:val="center"/>
          </w:tcPr>
          <w:p>
            <w:bookmarkStart w:id="28" w:name="审核范围"/>
            <w:r>
              <w:t>Q：消防器材、应急救援装备、安防产品、仪器仪表、医疗器械、汽车、计算机软件的销售</w:t>
            </w:r>
          </w:p>
          <w:p>
            <w:r>
              <w:t>E：消防器材、应急救援装备、安防产品、仪器仪表、医疗器械、汽车、计算机软件的销售所涉及场所的相关环境管理活动</w:t>
            </w:r>
          </w:p>
          <w:p>
            <w:r>
              <w:t>O：消防器材、应急救援装备、安防产品、仪器仪表、医疗器械、汽车、计算机软件的销售所涉及场所的相关职业健康安全管理活动</w:t>
            </w:r>
            <w:bookmarkEnd w:id="28"/>
          </w:p>
        </w:tc>
        <w:tc>
          <w:tcPr>
            <w:tcW w:w="178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623" w:type="dxa"/>
            <w:vMerge w:val="continue"/>
            <w:vAlign w:val="center"/>
          </w:tcPr>
          <w:p/>
        </w:tc>
        <w:tc>
          <w:tcPr>
            <w:tcW w:w="7056" w:type="dxa"/>
            <w:gridSpan w:val="3"/>
            <w:vMerge w:val="continue"/>
            <w:vAlign w:val="center"/>
          </w:tcPr>
          <w:p/>
        </w:tc>
        <w:tc>
          <w:tcPr>
            <w:tcW w:w="1784" w:type="dxa"/>
            <w:vAlign w:val="center"/>
          </w:tcPr>
          <w:p>
            <w:bookmarkStart w:id="29" w:name="专业代码"/>
            <w:r>
              <w:t>Q：29.12.00</w:t>
            </w:r>
          </w:p>
          <w:p>
            <w:r>
              <w:t>E：29.12.00</w:t>
            </w:r>
          </w:p>
          <w:p>
            <w:r>
              <w:t>O：29.12.00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p>
          <w:p/>
        </w:tc>
        <w:tc>
          <w:tcPr>
            <w:tcW w:w="3314" w:type="dxa"/>
            <w:vAlign w:val="center"/>
          </w:tcPr>
          <w:p>
            <w:r>
              <w:rPr>
                <w:rFonts w:hint="eastAsia"/>
              </w:rPr>
              <w:t>管理体系运行已超过3个月</w:t>
            </w:r>
          </w:p>
        </w:tc>
        <w:tc>
          <w:tcPr>
            <w:tcW w:w="1784"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3314" w:type="dxa"/>
            <w:vAlign w:val="center"/>
          </w:tcPr>
          <w:p>
            <w:r>
              <w:rPr>
                <w:rFonts w:hint="eastAsia"/>
              </w:rPr>
              <w:t>认证证书有效期</w:t>
            </w:r>
          </w:p>
          <w:p>
            <w:r>
              <w:rPr>
                <w:rFonts w:hint="eastAsia"/>
              </w:rPr>
              <w:t>（初审除外）</w:t>
            </w:r>
          </w:p>
        </w:tc>
        <w:tc>
          <w:tcPr>
            <w:tcW w:w="1784"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pPr w:leftFromText="180" w:rightFromText="180" w:vertAnchor="text" w:horzAnchor="page" w:tblpX="1134" w:tblpY="339"/>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39"/>
        <w:gridCol w:w="2264"/>
        <w:gridCol w:w="636"/>
        <w:gridCol w:w="1900"/>
        <w:gridCol w:w="173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039"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3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900"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39" w:type="dxa"/>
            <w:vMerge w:val="restart"/>
          </w:tcPr>
          <w:p>
            <w:pPr>
              <w:spacing w:before="40" w:after="40"/>
              <w:rPr>
                <w:rFonts w:hint="eastAsia" w:eastAsia="宋体"/>
                <w:szCs w:val="21"/>
                <w:lang w:val="en-US" w:eastAsia="zh-CN"/>
              </w:rPr>
            </w:pPr>
            <w:r>
              <w:rPr>
                <w:sz w:val="21"/>
                <w:szCs w:val="21"/>
              </w:rPr>
              <w:t>河北宏烽科技服务有限公司</w:t>
            </w:r>
            <w:r>
              <w:rPr>
                <w:rFonts w:hint="eastAsia"/>
                <w:sz w:val="21"/>
                <w:szCs w:val="21"/>
                <w:lang w:val="en-US" w:eastAsia="zh-CN"/>
              </w:rPr>
              <w:t>/</w:t>
            </w:r>
            <w:r>
              <w:rPr>
                <w:sz w:val="21"/>
                <w:szCs w:val="21"/>
              </w:rPr>
              <w:t>河北省石家庄市新华区新华路505号盛世天骄花苑1-3-2202室</w:t>
            </w:r>
          </w:p>
        </w:tc>
        <w:tc>
          <w:tcPr>
            <w:tcW w:w="2264" w:type="dxa"/>
          </w:tcPr>
          <w:p>
            <w:pPr>
              <w:spacing w:before="40" w:after="40"/>
              <w:rPr>
                <w:rFonts w:eastAsia="黑体"/>
                <w:szCs w:val="21"/>
                <w:lang w:val="de-DE" w:eastAsia="ja-JP"/>
              </w:rPr>
            </w:pPr>
            <w:r>
              <w:rPr>
                <w:sz w:val="21"/>
                <w:szCs w:val="21"/>
              </w:rPr>
              <w:t xml:space="preserve">河北省石家庄市新华区新华路505号盛世天骄花苑1-3-2202室               </w:t>
            </w:r>
          </w:p>
        </w:tc>
        <w:tc>
          <w:tcPr>
            <w:tcW w:w="636" w:type="dxa"/>
            <w:vMerge w:val="restart"/>
            <w:vAlign w:val="center"/>
          </w:tcPr>
          <w:p>
            <w:pPr>
              <w:spacing w:before="40" w:after="40"/>
              <w:rPr>
                <w:rFonts w:hint="default" w:eastAsia="黑体"/>
                <w:szCs w:val="21"/>
                <w:lang w:val="en-US" w:eastAsia="zh-CN"/>
              </w:rPr>
            </w:pPr>
            <w:r>
              <w:rPr>
                <w:rFonts w:hint="eastAsia" w:eastAsia="黑体"/>
                <w:szCs w:val="21"/>
                <w:lang w:val="en-US" w:eastAsia="zh-CN"/>
              </w:rPr>
              <w:t>6</w:t>
            </w:r>
          </w:p>
        </w:tc>
        <w:tc>
          <w:tcPr>
            <w:tcW w:w="1900" w:type="dxa"/>
            <w:vAlign w:val="center"/>
          </w:tcPr>
          <w:p>
            <w:pPr>
              <w:pStyle w:val="20"/>
              <w:rPr>
                <w:rFonts w:eastAsia="黑体" w:cs="Arial"/>
                <w:sz w:val="21"/>
                <w:szCs w:val="21"/>
                <w:lang w:val="en-US" w:eastAsia="ja-JP"/>
              </w:rPr>
            </w:pPr>
            <w:r>
              <w:rPr>
                <w:sz w:val="21"/>
                <w:szCs w:val="21"/>
              </w:rPr>
              <w:t>消防器材、应急救援装备、安防产品、仪器仪表、汽车、计算机软件的销售</w:t>
            </w:r>
          </w:p>
        </w:tc>
        <w:tc>
          <w:tcPr>
            <w:tcW w:w="1738"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vMerge w:val="restart"/>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hint="default" w:eastAsia="黑体"/>
                <w:szCs w:val="21"/>
                <w:lang w:val="en-US" w:eastAsia="zh-CN"/>
              </w:rPr>
            </w:pPr>
            <w:r>
              <w:rPr>
                <w:rFonts w:hint="eastAsia" w:eastAsia="黑体"/>
                <w:szCs w:val="21"/>
                <w:lang w:val="en-US" w:eastAsia="zh-CN"/>
              </w:rPr>
              <w:t>02</w:t>
            </w:r>
          </w:p>
        </w:tc>
        <w:tc>
          <w:tcPr>
            <w:tcW w:w="2039" w:type="dxa"/>
            <w:vMerge w:val="continue"/>
          </w:tcPr>
          <w:p>
            <w:pPr>
              <w:spacing w:before="40" w:after="40"/>
              <w:rPr>
                <w:rFonts w:hint="eastAsia" w:eastAsia="黑体"/>
                <w:szCs w:val="21"/>
                <w:lang w:val="de-DE" w:eastAsia="ja-JP"/>
              </w:rPr>
            </w:pPr>
          </w:p>
        </w:tc>
        <w:tc>
          <w:tcPr>
            <w:tcW w:w="2264" w:type="dxa"/>
          </w:tcPr>
          <w:p>
            <w:pPr>
              <w:spacing w:before="40" w:after="40"/>
              <w:rPr>
                <w:sz w:val="21"/>
                <w:szCs w:val="21"/>
              </w:rPr>
            </w:pPr>
            <w:r>
              <w:rPr>
                <w:sz w:val="21"/>
                <w:szCs w:val="21"/>
              </w:rPr>
              <w:t>河北省石家庄市新华区新华西路539号神兴综合楼501室</w:t>
            </w:r>
          </w:p>
        </w:tc>
        <w:tc>
          <w:tcPr>
            <w:tcW w:w="636" w:type="dxa"/>
            <w:vMerge w:val="continue"/>
            <w:vAlign w:val="center"/>
          </w:tcPr>
          <w:p>
            <w:pPr>
              <w:spacing w:before="40" w:after="40"/>
              <w:rPr>
                <w:rFonts w:hint="eastAsia" w:eastAsia="黑体"/>
                <w:szCs w:val="21"/>
                <w:lang w:val="en-US" w:eastAsia="zh-CN"/>
              </w:rPr>
            </w:pPr>
          </w:p>
        </w:tc>
        <w:tc>
          <w:tcPr>
            <w:tcW w:w="1900" w:type="dxa"/>
            <w:vAlign w:val="center"/>
          </w:tcPr>
          <w:p>
            <w:pPr>
              <w:pStyle w:val="20"/>
              <w:rPr>
                <w:sz w:val="21"/>
                <w:szCs w:val="21"/>
              </w:rPr>
            </w:pPr>
            <w:r>
              <w:rPr>
                <w:sz w:val="21"/>
                <w:szCs w:val="21"/>
              </w:rPr>
              <w:t>消防器材、应急救援装备、安防产品、仪器仪表、医疗器械、汽车、计算机软件的销售</w:t>
            </w:r>
          </w:p>
        </w:tc>
        <w:tc>
          <w:tcPr>
            <w:tcW w:w="1738" w:type="dxa"/>
            <w:vMerge w:val="continue"/>
            <w:vAlign w:val="center"/>
          </w:tcPr>
          <w:p>
            <w:pPr>
              <w:spacing w:before="40" w:after="40"/>
              <w:rPr>
                <w:rFonts w:hint="eastAsia" w:ascii="宋体" w:hAnsi="宋体"/>
                <w:b w:val="0"/>
                <w:bCs w:val="0"/>
                <w:sz w:val="21"/>
                <w:szCs w:val="21"/>
              </w:rPr>
            </w:pPr>
          </w:p>
        </w:tc>
        <w:tc>
          <w:tcPr>
            <w:tcW w:w="668" w:type="dxa"/>
            <w:vMerge w:val="continue"/>
            <w:shd w:val="clear" w:color="auto" w:fill="FFFFFF"/>
          </w:tcPr>
          <w:p>
            <w:pPr>
              <w:rPr>
                <w:rFonts w:eastAsia="黑体"/>
                <w:szCs w:val="21"/>
              </w:rPr>
            </w:pP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p>
            <w:r>
              <w:t>2021-N1EMS-1244880</w:t>
            </w:r>
          </w:p>
        </w:tc>
        <w:tc>
          <w:tcPr>
            <w:tcW w:w="2179" w:type="dxa"/>
            <w:vAlign w:val="center"/>
          </w:tcPr>
          <w:p>
            <w:r>
              <w:t>Q:29.12.00</w:t>
            </w:r>
          </w:p>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2020-N0EMS-1215052</w:t>
            </w:r>
          </w:p>
          <w:p>
            <w:r>
              <w:t>2022-N0OHSMS-1215052</w:t>
            </w:r>
          </w:p>
        </w:tc>
        <w:tc>
          <w:tcPr>
            <w:tcW w:w="2179" w:type="dxa"/>
            <w:vAlign w:val="center"/>
          </w:tcPr>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pStyle w:val="11"/>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jc w:val="both"/>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130810</wp:posOffset>
                  </wp:positionH>
                  <wp:positionV relativeFrom="paragraph">
                    <wp:posOffset>201930</wp:posOffset>
                  </wp:positionV>
                  <wp:extent cx="1031240" cy="4965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31240" cy="496570"/>
                          </a:xfrm>
                          <a:prstGeom prst="rect">
                            <a:avLst/>
                          </a:prstGeom>
                        </pic:spPr>
                      </pic:pic>
                    </a:graphicData>
                  </a:graphic>
                </wp:anchor>
              </w:drawing>
            </w:r>
            <w:r>
              <w:rPr>
                <w:rFonts w:hint="eastAsia"/>
              </w:rPr>
              <w:t>□不推荐或缩小推荐范围的说明: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2022年2月14日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autoSpaceDE w:val="0"/>
              <w:autoSpaceDN w:val="0"/>
              <w:adjustRightInd w:val="0"/>
              <w:spacing w:line="360" w:lineRule="auto"/>
              <w:jc w:val="left"/>
              <w:rPr>
                <w:rFonts w:ascii="楷体" w:hAnsi="楷体" w:eastAsia="楷体" w:cs="宋体"/>
                <w:kern w:val="0"/>
                <w:szCs w:val="21"/>
              </w:rPr>
            </w:pPr>
            <w:r>
              <w:rPr>
                <w:rFonts w:hint="eastAsia" w:ascii="楷体" w:hAnsi="楷体" w:eastAsia="楷体" w:cs="宋体"/>
                <w:kern w:val="0"/>
                <w:szCs w:val="21"/>
              </w:rPr>
              <w:t>把握市场靠质量</w:t>
            </w:r>
          </w:p>
          <w:p>
            <w:pPr>
              <w:autoSpaceDE w:val="0"/>
              <w:autoSpaceDN w:val="0"/>
              <w:adjustRightInd w:val="0"/>
              <w:spacing w:line="360" w:lineRule="auto"/>
              <w:jc w:val="left"/>
              <w:rPr>
                <w:rFonts w:ascii="楷体" w:hAnsi="楷体" w:eastAsia="楷体" w:cs="宋体"/>
                <w:kern w:val="0"/>
                <w:szCs w:val="21"/>
              </w:rPr>
            </w:pPr>
            <w:r>
              <w:rPr>
                <w:rFonts w:hint="eastAsia" w:ascii="楷体" w:hAnsi="楷体" w:eastAsia="楷体" w:cs="宋体"/>
                <w:kern w:val="0"/>
                <w:szCs w:val="21"/>
              </w:rPr>
              <w:t>客户满意靠真诚</w:t>
            </w:r>
          </w:p>
          <w:p>
            <w:pPr>
              <w:shd w:val="clear" w:color="auto" w:fill="C7DAF1" w:themeFill="text2" w:themeFillTint="32"/>
              <w:rPr>
                <w:u w:val="single"/>
              </w:rPr>
            </w:pPr>
            <w:r>
              <w:rPr>
                <w:rFonts w:hint="eastAsia" w:ascii="楷体" w:hAnsi="楷体" w:eastAsia="楷体" w:cs="宋体"/>
                <w:kern w:val="0"/>
                <w:szCs w:val="21"/>
              </w:rPr>
              <w:t>持续改进靠管理</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2供销部门加大市场开拓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公司目前主要销售产品承接产品市场占有份额一般，销售此类产品企业较多，造成产品利润少</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产品交付顾客验收合格率100%；</w:t>
                  </w:r>
                </w:p>
              </w:tc>
              <w:tc>
                <w:tcPr>
                  <w:tcW w:w="2482"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顾客满意度≥90%</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销售服务质量考核合格率≥95%</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合格次数/交付批次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rPr>
              <w:t>□法律法规获取充分，</w:t>
            </w:r>
            <w:r>
              <w:rPr>
                <w:rFonts w:hint="eastAsia"/>
                <w:lang w:eastAsia="zh-CN"/>
              </w:rPr>
              <w:t>☑</w:t>
            </w:r>
            <w:r>
              <w:rPr>
                <w:rFonts w:hint="eastAsia"/>
              </w:rPr>
              <w:t>法律法规获取有遗漏，缺少：</w:t>
            </w:r>
            <w:r>
              <w:rPr>
                <w:rFonts w:hint="eastAsia"/>
                <w:lang w:val="en-US" w:eastAsia="zh-CN"/>
              </w:rPr>
              <w:t>民法典</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sz w:val="20"/>
                    </w:rPr>
                    <w:t>消防器材、应急救援装备、安防产品、仪器仪表、医疗器械、汽车、计算机软件的销售</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pPr>
                  <w:r>
                    <w:rPr>
                      <w:rFonts w:hint="eastAsia"/>
                      <w:color w:val="000000"/>
                      <w:u w:val="single"/>
                      <w:lang w:val="en-US" w:eastAsia="zh-CN"/>
                    </w:rPr>
                    <w:t>订单执行时间、需求数量</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ascii="宋体" w:hAnsi="宋体" w:cs="宋体"/>
                <w:b w:val="0"/>
                <w:bCs w:val="0"/>
                <w:kern w:val="0"/>
                <w:sz w:val="21"/>
                <w:szCs w:val="21"/>
              </w:rPr>
              <w:t>遵守法律法规；节能降耗减排</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增强环保意识；实现持续发展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7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主要的风险或机遇描述</w:t>
                  </w:r>
                </w:p>
              </w:tc>
              <w:tc>
                <w:tcPr>
                  <w:tcW w:w="3742"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3" w:type="dxa"/>
                </w:tcPr>
                <w:p>
                  <w:pPr>
                    <w:shd w:val="clear" w:color="auto" w:fill="EBF1DE" w:themeFill="accent3" w:themeFillTint="32"/>
                  </w:pPr>
                  <w:r>
                    <w:rPr>
                      <w:rFonts w:hint="eastAsia"/>
                    </w:rPr>
                    <w:t>公司产品售后服务处理不好，顾客埋怨投诉较多，以及产品寿命结束后的回收处理问题</w:t>
                  </w:r>
                </w:p>
              </w:tc>
              <w:tc>
                <w:tcPr>
                  <w:tcW w:w="3742" w:type="dxa"/>
                </w:tcPr>
                <w:p>
                  <w:pPr>
                    <w:shd w:val="clear" w:color="auto" w:fill="EBF1DE" w:themeFill="accent3" w:themeFillTint="32"/>
                  </w:pPr>
                  <w:r>
                    <w:rPr>
                      <w:rFonts w:hint="eastAsia" w:ascii="宋体" w:hAnsi="宋体" w:eastAsia="宋体" w:cs="宋体"/>
                      <w:b w:val="0"/>
                      <w:bCs w:val="0"/>
                      <w:kern w:val="0"/>
                      <w:sz w:val="21"/>
                      <w:szCs w:val="21"/>
                      <w:lang w:val="en-US" w:eastAsia="zh-CN" w:bidi="ar-SA"/>
                    </w:rPr>
                    <w:t>供销部门和产品部要严格按照售后服务管理规定，做好客户服务工作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eastAsia" w:eastAsia="宋体"/>
                      <w:sz w:val="18"/>
                      <w:szCs w:val="18"/>
                      <w:lang w:eastAsia="zh-CN"/>
                    </w:rPr>
                  </w:pPr>
                  <w:r>
                    <w:rPr>
                      <w:rFonts w:hint="eastAsia" w:ascii="宋体" w:hAnsi="宋体" w:cs="宋体"/>
                      <w:b w:val="0"/>
                      <w:bCs w:val="0"/>
                      <w:kern w:val="0"/>
                      <w:sz w:val="18"/>
                      <w:szCs w:val="18"/>
                    </w:rPr>
                    <w:t>不发生重大环境事故</w:t>
                  </w:r>
                  <w:r>
                    <w:rPr>
                      <w:rFonts w:hint="eastAsia" w:ascii="宋体" w:hAnsi="宋体" w:cs="宋体"/>
                      <w:b w:val="0"/>
                      <w:bCs w:val="0"/>
                      <w:kern w:val="0"/>
                      <w:sz w:val="18"/>
                      <w:szCs w:val="18"/>
                      <w:lang w:eastAsia="zh-CN"/>
                    </w:rPr>
                    <w:t>；</w:t>
                  </w:r>
                  <w:r>
                    <w:rPr>
                      <w:rFonts w:hint="eastAsia"/>
                      <w:bCs/>
                      <w:sz w:val="18"/>
                      <w:szCs w:val="18"/>
                    </w:rPr>
                    <w:t>固体废弃物分类处理率达100%</w:t>
                  </w:r>
                </w:p>
              </w:tc>
              <w:tc>
                <w:tcPr>
                  <w:tcW w:w="3137" w:type="dxa"/>
                  <w:shd w:val="clear" w:color="auto" w:fill="auto"/>
                  <w:vAlign w:val="center"/>
                </w:tcPr>
                <w:p>
                  <w:pPr>
                    <w:shd w:val="clear" w:color="auto" w:fill="EBF1DE" w:themeFill="accent3" w:themeFillTint="32"/>
                    <w:rPr>
                      <w:sz w:val="18"/>
                      <w:szCs w:val="18"/>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150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rPr>
              <w:t>□法律法规获取充分，</w:t>
            </w:r>
            <w:r>
              <w:rPr>
                <w:rFonts w:hint="eastAsia"/>
                <w:lang w:eastAsia="zh-CN"/>
              </w:rPr>
              <w:t>☑</w:t>
            </w:r>
            <w:r>
              <w:rPr>
                <w:rFonts w:hint="eastAsia"/>
              </w:rPr>
              <w:t>法律法规获取有遗漏，缺少：</w:t>
            </w:r>
            <w:r>
              <w:rPr>
                <w:rFonts w:hint="eastAsia"/>
                <w:lang w:val="en-US" w:eastAsia="zh-CN"/>
              </w:rPr>
              <w:t>消防法</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12</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ascii="宋体" w:hAnsi="宋体" w:cs="宋体"/>
                <w:b w:val="0"/>
                <w:bCs w:val="0"/>
                <w:kern w:val="0"/>
                <w:sz w:val="21"/>
                <w:szCs w:val="21"/>
              </w:rPr>
              <w:t>保障健康  安全服务</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以人为本  永续发展</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遵守法规  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张雪贞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3"/>
              <w:gridCol w:w="32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r>
                    <w:rPr>
                      <w:rFonts w:hint="eastAsia"/>
                    </w:rPr>
                    <w:t>主要的风险或机遇描述</w:t>
                  </w:r>
                </w:p>
              </w:tc>
              <w:tc>
                <w:tcPr>
                  <w:tcW w:w="324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pPr>
                    <w:rPr>
                      <w:rFonts w:hint="eastAsia"/>
                      <w:sz w:val="18"/>
                      <w:szCs w:val="18"/>
                    </w:rPr>
                  </w:pPr>
                  <w:r>
                    <w:rPr>
                      <w:rFonts w:hint="eastAsia"/>
                      <w:b/>
                      <w:sz w:val="18"/>
                      <w:szCs w:val="18"/>
                    </w:rPr>
                    <w:t>风险：</w:t>
                  </w:r>
                  <w:r>
                    <w:rPr>
                      <w:rFonts w:hint="eastAsia"/>
                      <w:sz w:val="18"/>
                      <w:szCs w:val="18"/>
                    </w:rPr>
                    <w:t>公司目前人员特别是优秀人才被外单位吸引离开的情况还是存在，对公司是比较大的损失。员工业务素质在一定程度上存在参差不齐的情况，加上绩效考核不能有效落实，会对工作完成质量造成不好的影响。</w:t>
                  </w:r>
                </w:p>
                <w:p>
                  <w:pPr>
                    <w:rPr>
                      <w:sz w:val="18"/>
                      <w:szCs w:val="18"/>
                    </w:rPr>
                  </w:pPr>
                  <w:r>
                    <w:rPr>
                      <w:rFonts w:hint="eastAsia"/>
                      <w:b/>
                      <w:sz w:val="18"/>
                      <w:szCs w:val="18"/>
                    </w:rPr>
                    <w:t>机遇：</w:t>
                  </w:r>
                  <w:r>
                    <w:rPr>
                      <w:rFonts w:hint="eastAsia"/>
                      <w:sz w:val="18"/>
                      <w:szCs w:val="18"/>
                    </w:rPr>
                    <w:t>公司目前主要人员还算稳定，各项绩效考核能顺利开展，为公司的发展提供一个比较好的基础。</w:t>
                  </w:r>
                </w:p>
              </w:tc>
              <w:tc>
                <w:tcPr>
                  <w:tcW w:w="3242" w:type="dxa"/>
                </w:tcPr>
                <w:p>
                  <w:pPr>
                    <w:rPr>
                      <w:rFonts w:hint="eastAsia"/>
                      <w:sz w:val="18"/>
                      <w:szCs w:val="18"/>
                    </w:rPr>
                  </w:pPr>
                  <w:r>
                    <w:rPr>
                      <w:rFonts w:hint="eastAsia"/>
                      <w:sz w:val="18"/>
                      <w:szCs w:val="18"/>
                    </w:rPr>
                    <w:t>1.各部门要及时关注员工的心理变换，注意工作方式，创造良好的工作环境，提高员工的归属感</w:t>
                  </w:r>
                </w:p>
                <w:p>
                  <w:pPr>
                    <w:rPr>
                      <w:rFonts w:hint="eastAsia"/>
                      <w:sz w:val="18"/>
                      <w:szCs w:val="18"/>
                    </w:rPr>
                  </w:pPr>
                  <w:r>
                    <w:rPr>
                      <w:rFonts w:hint="eastAsia"/>
                      <w:sz w:val="18"/>
                      <w:szCs w:val="18"/>
                    </w:rPr>
                    <w:t>2.人资部做好人员的储备，防止人员流失后给公司带来的风险；</w:t>
                  </w:r>
                </w:p>
                <w:p>
                  <w:pPr>
                    <w:rPr>
                      <w:sz w:val="18"/>
                      <w:szCs w:val="18"/>
                    </w:rPr>
                  </w:pPr>
                  <w:r>
                    <w:rPr>
                      <w:rFonts w:hint="eastAsia"/>
                      <w:sz w:val="18"/>
                      <w:szCs w:val="18"/>
                    </w:rPr>
                    <w:t>3.各职能部门加强绩效考核的有效开展，通过考核促进员工的工作积极性，提高业务素质。</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bCs/>
                      <w:sz w:val="24"/>
                    </w:rPr>
                    <w:t>杜绝</w:t>
                  </w:r>
                  <w:r>
                    <w:rPr>
                      <w:rFonts w:hint="eastAsia"/>
                      <w:bCs/>
                      <w:sz w:val="24"/>
                      <w:lang w:val="en-US" w:eastAsia="zh-CN"/>
                    </w:rPr>
                    <w:t>火灾触电</w:t>
                  </w:r>
                  <w:r>
                    <w:rPr>
                      <w:bCs/>
                      <w:sz w:val="24"/>
                    </w:rPr>
                    <w:t>事故</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150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rPr>
              <w:t>□法律法规获取充分，</w:t>
            </w:r>
            <w:r>
              <w:rPr>
                <w:rFonts w:hint="eastAsia"/>
                <w:lang w:eastAsia="zh-CN"/>
              </w:rPr>
              <w:t>☑</w:t>
            </w:r>
            <w:r>
              <w:rPr>
                <w:rFonts w:hint="eastAsia"/>
              </w:rPr>
              <w:t>法律法规获取有遗漏，缺少：</w:t>
            </w:r>
            <w:r>
              <w:rPr>
                <w:rFonts w:hint="eastAsia"/>
                <w:lang w:val="en-US" w:eastAsia="zh-CN"/>
              </w:rPr>
              <w:t>传染病防治法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12</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3" w:name="_GoBack"/>
            <w:bookmarkEnd w:id="33"/>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8B347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2022-02-17T09:43:00Z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