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0024-2021-F-2022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u w:val="single"/>
        </w:rPr>
        <w:t>厦门合利成环保科技有限公司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厦门合利成环保科技有限公司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厦门火炬高新区（翔安）产业区翔明路26号第三层302</w:t>
            </w:r>
            <w:bookmarkEnd w:id="8"/>
          </w:p>
        </w:tc>
        <w:tc>
          <w:tcPr>
            <w:tcW w:w="1242" w:type="dxa"/>
            <w:vMerge w:val="restart"/>
            <w:vAlign w:val="center"/>
          </w:tcPr>
          <w:p>
            <w:r>
              <w:rPr>
                <w:rFonts w:hint="eastAsia"/>
              </w:rPr>
              <w:t>邮编</w:t>
            </w:r>
          </w:p>
        </w:tc>
        <w:tc>
          <w:tcPr>
            <w:tcW w:w="1771" w:type="dxa"/>
          </w:tcPr>
          <w:p>
            <w:bookmarkStart w:id="9" w:name="注册邮编"/>
            <w:r>
              <w:t>361103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厦门火炬高新区（翔安）产业区翔明路26号第三层302</w:t>
            </w:r>
            <w:bookmarkEnd w:id="10"/>
          </w:p>
        </w:tc>
        <w:tc>
          <w:tcPr>
            <w:tcW w:w="1242" w:type="dxa"/>
            <w:vMerge w:val="continue"/>
            <w:vAlign w:val="center"/>
          </w:tcPr>
          <w:p/>
        </w:tc>
        <w:tc>
          <w:tcPr>
            <w:tcW w:w="1771" w:type="dxa"/>
          </w:tcPr>
          <w:p>
            <w:bookmarkStart w:id="11" w:name="办公邮编"/>
            <w:r>
              <w:t>361103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林爱梅</w:t>
            </w:r>
            <w:bookmarkEnd w:id="12"/>
          </w:p>
        </w:tc>
        <w:tc>
          <w:tcPr>
            <w:tcW w:w="1313" w:type="dxa"/>
            <w:vAlign w:val="center"/>
          </w:tcPr>
          <w:p>
            <w:r>
              <w:rPr>
                <w:rFonts w:hint="eastAsia"/>
              </w:rPr>
              <w:t>电话.</w:t>
            </w:r>
          </w:p>
        </w:tc>
        <w:tc>
          <w:tcPr>
            <w:tcW w:w="2180" w:type="dxa"/>
            <w:vAlign w:val="center"/>
          </w:tcPr>
          <w:p>
            <w:bookmarkStart w:id="13" w:name="联系人电话"/>
            <w:r>
              <w:t>15980896871</w:t>
            </w:r>
            <w:bookmarkEnd w:id="13"/>
          </w:p>
        </w:tc>
        <w:tc>
          <w:tcPr>
            <w:tcW w:w="1242" w:type="dxa"/>
            <w:vAlign w:val="center"/>
          </w:tcPr>
          <w:p>
            <w:r>
              <w:rPr>
                <w:rFonts w:hint="eastAsia"/>
              </w:rPr>
              <w:t>传真</w:t>
            </w:r>
          </w:p>
        </w:tc>
        <w:tc>
          <w:tcPr>
            <w:tcW w:w="1771" w:type="dxa"/>
          </w:tcPr>
          <w:p>
            <w:pPr>
              <w:rPr>
                <w:rFonts w:hint="default" w:eastAsia="宋体"/>
                <w:lang w:val="en-US" w:eastAsia="zh-CN"/>
              </w:rPr>
            </w:pPr>
            <w:bookmarkStart w:id="14" w:name="联系人传真"/>
            <w:bookmarkEnd w:id="14"/>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bookmarkStart w:id="15" w:name="法人"/>
            <w:r>
              <w:t>陈成吉</w:t>
            </w:r>
            <w:bookmarkEnd w:id="15"/>
            <w:r>
              <w:rPr>
                <w:rFonts w:hint="eastAsia"/>
                <w:lang w:eastAsia="zh-CN"/>
              </w:rPr>
              <w:t>（</w:t>
            </w:r>
            <w:r>
              <w:rPr>
                <w:rFonts w:hint="eastAsia"/>
                <w:lang w:val="en-US" w:eastAsia="zh-CN"/>
              </w:rPr>
              <w:t>总经理）</w:t>
            </w:r>
          </w:p>
        </w:tc>
        <w:tc>
          <w:tcPr>
            <w:tcW w:w="1313" w:type="dxa"/>
            <w:vAlign w:val="center"/>
          </w:tcPr>
          <w:p>
            <w:r>
              <w:rPr>
                <w:rFonts w:hint="eastAsia"/>
              </w:rPr>
              <w:t>管理者代表</w:t>
            </w:r>
          </w:p>
        </w:tc>
        <w:tc>
          <w:tcPr>
            <w:tcW w:w="2180" w:type="dxa"/>
          </w:tcPr>
          <w:p>
            <w:bookmarkStart w:id="16" w:name="管理者代表"/>
            <w:r>
              <w:t>林爱梅</w:t>
            </w:r>
            <w:bookmarkEnd w:id="16"/>
          </w:p>
        </w:tc>
        <w:tc>
          <w:tcPr>
            <w:tcW w:w="1242" w:type="dxa"/>
          </w:tcPr>
          <w:p>
            <w:r>
              <w:rPr>
                <w:rFonts w:hint="eastAsia"/>
              </w:rPr>
              <w:t>邮箱</w:t>
            </w:r>
          </w:p>
        </w:tc>
        <w:tc>
          <w:tcPr>
            <w:tcW w:w="1771" w:type="dxa"/>
          </w:tcPr>
          <w:p>
            <w:bookmarkStart w:id="17" w:name="联系人邮箱"/>
            <w:r>
              <w:rPr>
                <w:sz w:val="21"/>
                <w:szCs w:val="21"/>
              </w:rPr>
              <w:t>ccj20130101@126.com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yellow"/>
              </w:rPr>
            </w:pPr>
          </w:p>
          <w:p>
            <w:pPr>
              <w:rPr>
                <w:highlight w:val="yellow"/>
              </w:rPr>
            </w:pPr>
          </w:p>
        </w:tc>
        <w:tc>
          <w:tcPr>
            <w:tcW w:w="8058" w:type="dxa"/>
            <w:gridSpan w:val="5"/>
            <w:shd w:val="clear" w:color="auto" w:fill="auto"/>
          </w:tcPr>
          <w:p>
            <w:pPr>
              <w:rPr>
                <w:rFonts w:hint="eastAsia"/>
                <w:lang w:val="en-US" w:eastAsia="zh-CN"/>
              </w:rPr>
            </w:pPr>
            <w:r>
              <w:rPr>
                <w:rFonts w:hint="eastAsia"/>
                <w:lang w:val="en-US" w:eastAsia="zh-CN"/>
              </w:rPr>
              <w:t>流程简图：</w:t>
            </w:r>
          </w:p>
          <w:p>
            <w:pPr>
              <w:pStyle w:val="6"/>
              <w:rPr>
                <w:rFonts w:hint="eastAsia"/>
                <w:lang w:val="en-US" w:eastAsia="zh-CN"/>
              </w:rPr>
            </w:pPr>
          </w:p>
          <w:p>
            <w:pPr>
              <w:rPr>
                <w:rFonts w:hint="default" w:eastAsia="宋体"/>
                <w:szCs w:val="18"/>
                <w:lang w:val="en-US" w:eastAsia="zh-CN"/>
              </w:rPr>
            </w:pPr>
            <w:r>
              <w:rPr>
                <w:sz w:val="21"/>
              </w:rPr>
              <w:pict>
                <v:group id="_x0000_s1028" o:spid="_x0000_s1028" o:spt="203" style="position:absolute;left:0pt;margin-left:63.25pt;margin-top:13.5pt;height:21.05pt;width:20pt;z-index:251661312;mso-width-relative:page;mso-height-relative:page;" coordorigin="8355,24002" coordsize="400,421">
                  <o:lock v:ext="edit" aspectratio="f"/>
                  <v:line id="_x0000_s1026" o:spid="_x0000_s1026" o:spt="20" style="position:absolute;left:8755;top:24002;flip:y;height:400;width:1;" fillcolor="#FFFFFF" filled="t" stroked="t" coordsize="21600,21600">
                    <v:path arrowok="t"/>
                    <v:fill on="t" color2="#FFFFFF" focussize="0,0"/>
                    <v:stroke color="#000000" endarrow="open"/>
                    <v:imagedata o:title=""/>
                    <o:lock v:ext="edit" aspectratio="f"/>
                  </v:line>
                  <v:line id="_x0000_s1027" o:spid="_x0000_s1027" o:spt="20" style="position:absolute;left:8355;top:24413;flip:x;height:11;width:389;" fillcolor="#FFFFFF" filled="t" stroked="t" coordsize="21600,21600">
                    <v:path arrowok="t"/>
                    <v:fill on="t" color2="#FFFFFF" focussize="0,0"/>
                    <v:stroke color="#000000"/>
                    <v:imagedata o:title=""/>
                    <o:lock v:ext="edit" aspectratio="f"/>
                  </v:line>
                </v:group>
              </w:pict>
            </w:r>
            <w:r>
              <w:rPr>
                <w:rFonts w:hint="eastAsia"/>
                <w:szCs w:val="18"/>
                <w:lang w:val="en-US" w:eastAsia="zh-CN"/>
              </w:rPr>
              <w:t>原料片材验收→贮存→成型→冲切→成型→检验包装→入库贮存→运输交付</w:t>
            </w:r>
          </w:p>
          <w:p>
            <w:pPr>
              <w:pStyle w:val="6"/>
              <w:rPr>
                <w:rFonts w:hint="default"/>
                <w:lang w:val="en-US" w:eastAsia="zh-CN"/>
              </w:rPr>
            </w:pPr>
          </w:p>
          <w:p>
            <w:pPr>
              <w:pStyle w:val="6"/>
              <w:ind w:firstLine="420" w:firstLineChars="200"/>
              <w:rPr>
                <w:rFonts w:hint="default" w:ascii="Times New Roman" w:hAnsi="Times New Roman" w:eastAsia="宋体" w:cs="Times New Roman"/>
                <w:kern w:val="2"/>
                <w:sz w:val="21"/>
                <w:szCs w:val="18"/>
                <w:lang w:val="en-US" w:eastAsia="zh-CN" w:bidi="ar-SA"/>
              </w:rPr>
            </w:pPr>
            <w:r>
              <w:rPr>
                <w:rFonts w:hint="eastAsia" w:ascii="Times New Roman" w:hAnsi="Times New Roman" w:eastAsia="宋体" w:cs="Times New Roman"/>
                <w:kern w:val="2"/>
                <w:sz w:val="21"/>
                <w:szCs w:val="18"/>
                <w:lang w:val="en-US" w:eastAsia="zh-CN" w:bidi="ar-SA"/>
              </w:rPr>
              <w:t>磨具验收</w:t>
            </w:r>
          </w:p>
          <w:p>
            <w:pPr>
              <w:pStyle w:val="6"/>
              <w:rPr>
                <w:rFonts w:hint="default"/>
                <w:lang w:val="en-US" w:eastAsia="zh-CN"/>
              </w:rPr>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2022年02月14日 下午</w:t>
            </w:r>
            <w:r>
              <w:rPr>
                <w:rFonts w:hint="eastAsia"/>
                <w:lang w:val="en-US" w:eastAsia="zh-CN"/>
              </w:rPr>
              <w:t>14:00</w:t>
            </w:r>
            <w:r>
              <w:rPr>
                <w:rFonts w:hint="eastAsia"/>
              </w:rPr>
              <w:t>至2022年02月15日 上午</w:t>
            </w:r>
            <w:bookmarkEnd w:id="18"/>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pPr>
              <w:rPr>
                <w:rFonts w:hint="eastAsia"/>
              </w:rPr>
            </w:pPr>
            <w:bookmarkStart w:id="20" w:name="监督勾选"/>
            <w:r>
              <w:rPr>
                <w:rFonts w:hint="eastAsia"/>
              </w:rPr>
              <w:t>■</w:t>
            </w:r>
            <w:bookmarkEnd w:id="20"/>
            <w:r>
              <w:rPr>
                <w:rFonts w:hint="eastAsia"/>
              </w:rPr>
              <w:t>监督审核：评价组织管理体系的持续符合性和有效性，以确定是否推荐保持认证证书。</w:t>
            </w:r>
          </w:p>
          <w:p>
            <w:pPr>
              <w:pStyle w:val="14"/>
            </w:pPr>
            <w:r>
              <w:rPr>
                <w:rFonts w:hint="eastAsia"/>
              </w:rPr>
              <w:sym w:font="Wingdings 2" w:char="0052"/>
            </w:r>
            <w:r>
              <w:rPr>
                <w:rFonts w:hint="eastAsia"/>
              </w:rPr>
              <w:t>对被暂停客户进行跟踪审核，验证被暂停原因是否已消除，以确定是否恢复认证注册资格。</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57"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8" w:name="H勾选Add1"/>
            <w:r>
              <w:rPr>
                <w:rFonts w:hint="eastAsia"/>
                <w:lang w:val="de-DE"/>
              </w:rPr>
              <w:t>□</w:t>
            </w:r>
            <w:bookmarkEnd w:id="28"/>
            <w:r>
              <w:rPr>
                <w:rFonts w:hint="eastAsia"/>
                <w:lang w:val="de-DE"/>
              </w:rPr>
              <w:t xml:space="preserve"> GB/T27341-2009□ GB 14881-2013 □《危害分析与关键控制点（HACCP体系）认证补充要求 1.0》</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pPr>
              <w:rPr>
                <w:rFonts w:hint="eastAsia"/>
                <w:lang w:val="de-DE"/>
              </w:rPr>
            </w:pPr>
            <w:r>
              <w:rPr>
                <w:rFonts w:hint="eastAsia"/>
                <w:lang w:val="de-DE"/>
              </w:rPr>
              <w:sym w:font="Wingdings 2" w:char="0052"/>
            </w:r>
            <w:r>
              <w:rPr>
                <w:rFonts w:hint="eastAsia"/>
                <w:lang w:val="de-DE"/>
              </w:rPr>
              <w:t>适用于受审核方的法律法规及其他要求</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w:t>
            </w:r>
            <w:r>
              <w:rPr>
                <w:rFonts w:hint="eastAsia"/>
                <w:lang w:val="en-US" w:eastAsia="zh-CN"/>
              </w:rPr>
              <w:t xml:space="preserve"> </w:t>
            </w:r>
            <w:r>
              <w:rPr>
                <w:rFonts w:hint="eastAsia"/>
              </w:rPr>
              <w:t>□结合审核</w:t>
            </w:r>
            <w:r>
              <w:rPr>
                <w:rFonts w:hint="eastAsia"/>
                <w:lang w:val="en-US" w:eastAsia="zh-CN"/>
              </w:rPr>
              <w:t xml:space="preserve"> </w:t>
            </w:r>
            <w:r>
              <w:rPr>
                <w:rFonts w:hint="eastAsia"/>
              </w:rPr>
              <w:t>□一体化审核</w:t>
            </w:r>
            <w:r>
              <w:rPr>
                <w:rFonts w:hint="eastAsia"/>
                <w:lang w:val="en-US" w:eastAsia="zh-CN"/>
              </w:rPr>
              <w:t xml:space="preserve"> </w:t>
            </w:r>
            <w:r>
              <w:rPr>
                <w:rFonts w:hint="eastAsia"/>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szCs w:val="21"/>
                <w:lang w:val="en-US" w:eastAsia="zh-CN"/>
              </w:rPr>
              <w:t xml:space="preserve"> </w:t>
            </w:r>
            <w:r>
              <w:rPr>
                <w:rFonts w:hint="eastAsia" w:ascii="宋体" w:hAnsi="宋体" w:cs="宋体"/>
                <w:color w:val="000000"/>
                <w:kern w:val="0"/>
              </w:rPr>
              <w:sym w:font="Wingdings 2" w:char="00A3"/>
            </w:r>
            <w:r>
              <w:rPr>
                <w:rFonts w:hint="eastAsia" w:ascii="宋体" w:hAnsi="宋体" w:cs="宋体"/>
                <w:color w:val="000000"/>
                <w:kern w:val="0"/>
                <w:szCs w:val="21"/>
              </w:rPr>
              <w:t>远程审核</w:t>
            </w:r>
            <w:r>
              <w:rPr>
                <w:rFonts w:hint="eastAsia" w:ascii="宋体" w:hAnsi="宋体" w:cs="宋体"/>
                <w:color w:val="000000"/>
                <w:kern w:val="0"/>
                <w:szCs w:val="21"/>
                <w:lang w:val="en-US" w:eastAsia="zh-CN"/>
              </w:rPr>
              <w:t xml:space="preserve">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lang w:val="en-US" w:eastAsia="zh-CN"/>
              </w:rPr>
              <w:t xml:space="preserve"> </w:t>
            </w:r>
            <w:r>
              <w:rPr>
                <w:rFonts w:hint="eastAsia"/>
              </w:rPr>
              <w:t>■</w:t>
            </w:r>
            <w:bookmarkEnd w:id="30"/>
            <w:r>
              <w:rPr>
                <w:rFonts w:hint="eastAsia"/>
              </w:rPr>
              <w:t>监督第</w:t>
            </w:r>
            <w:bookmarkStart w:id="31" w:name="监督次数"/>
            <w:r>
              <w:rPr>
                <w:rFonts w:hint="eastAsia"/>
              </w:rPr>
              <w:t>一</w:t>
            </w:r>
            <w:bookmarkEnd w:id="31"/>
            <w:r>
              <w:rPr>
                <w:rFonts w:hint="eastAsia"/>
              </w:rPr>
              <w:t>次</w:t>
            </w:r>
            <w:r>
              <w:rPr>
                <w:rFonts w:hint="eastAsia"/>
                <w:lang w:val="en-US" w:eastAsia="zh-CN"/>
              </w:rPr>
              <w:t xml:space="preserve"> </w:t>
            </w:r>
            <w:r>
              <w:rPr>
                <w:rFonts w:hint="eastAsia"/>
              </w:rPr>
              <w:t>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厦门火炬高新区（翔安）产业区翔明路26号第三层302</w:t>
            </w:r>
            <w:r>
              <w:rPr>
                <w:rFonts w:hint="eastAsia"/>
                <w:lang w:eastAsia="zh-CN"/>
              </w:rPr>
              <w:t>【</w:t>
            </w:r>
            <w:r>
              <w:rPr>
                <w:rFonts w:hint="eastAsia"/>
                <w:lang w:val="en-US" w:eastAsia="zh-CN"/>
              </w:rPr>
              <w:t>现场审核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4" w:name="审核范围"/>
            <w:r>
              <w:t>位于厦门火炬高新区（翔安）产业区翔明路26号第三层302的塑料一次性餐具（PS/PP/PET)的生产</w:t>
            </w:r>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5" w:name="专业代码"/>
            <w:r>
              <w:t>I</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r>
              <w:rPr>
                <w:rFonts w:hint="eastAsia"/>
                <w:lang w:eastAsia="zh-CN"/>
              </w:rPr>
              <w:t>（</w:t>
            </w:r>
            <w:r>
              <w:rPr>
                <w:rFonts w:hint="eastAsia"/>
                <w:lang w:val="en-US" w:eastAsia="zh-CN"/>
              </w:rPr>
              <w:t>修改</w:t>
            </w:r>
            <w:r>
              <w:rPr>
                <w:rFonts w:hint="eastAsia"/>
                <w:lang w:eastAsia="zh-CN"/>
              </w:rPr>
              <w:t>）</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highlight w:val="none"/>
              </w:rPr>
            </w:pPr>
            <w:r>
              <w:rPr>
                <w:rFonts w:hint="eastAsia"/>
                <w:highlight w:val="none"/>
                <w:lang w:val="en-US" w:eastAsia="zh-CN"/>
              </w:rPr>
              <w:t>2021</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21</w:t>
            </w:r>
            <w:r>
              <w:rPr>
                <w:rFonts w:hint="eastAsia"/>
                <w:highlight w:val="none"/>
              </w:rPr>
              <w:t>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有效至2024年02月01日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highlight w:val="none"/>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厦门合利成环保科技有限公司</w:t>
            </w:r>
          </w:p>
          <w:p>
            <w:pPr>
              <w:pStyle w:val="6"/>
              <w:rPr>
                <w:lang w:val="de-DE" w:eastAsia="ja-JP"/>
              </w:rPr>
            </w:pPr>
            <w:r>
              <w:rPr>
                <w:rFonts w:asciiTheme="minorEastAsia" w:hAnsiTheme="minorEastAsia" w:eastAsiaTheme="minorEastAsia"/>
                <w:sz w:val="20"/>
              </w:rPr>
              <w:t>厦门火炬高新区（翔安）产业区翔明路26号第三层302</w:t>
            </w:r>
          </w:p>
        </w:tc>
        <w:tc>
          <w:tcPr>
            <w:tcW w:w="2267" w:type="dxa"/>
          </w:tcPr>
          <w:p>
            <w:pPr>
              <w:rPr>
                <w:lang w:val="de-DE" w:eastAsia="ja-JP"/>
              </w:rPr>
            </w:pPr>
            <w:r>
              <w:rPr>
                <w:rFonts w:asciiTheme="minorEastAsia" w:hAnsiTheme="minorEastAsia" w:eastAsiaTheme="minorEastAsia"/>
                <w:sz w:val="20"/>
              </w:rPr>
              <w:t>厦门火炬高新区（翔安）产业区翔明路26号第三层302</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位于厦门火炬高新区（翔安）产业区翔明路26号第三层302的塑料一次性餐具（PS/PP/PET</w:t>
            </w:r>
            <w:r>
              <w:rPr>
                <w:rFonts w:hint="eastAsia"/>
                <w:sz w:val="20"/>
                <w:lang w:eastAsia="zh-CN"/>
              </w:rPr>
              <w:t>）</w:t>
            </w:r>
            <w:r>
              <w:rPr>
                <w:sz w:val="20"/>
              </w:rPr>
              <w:t>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未发生重大食品安全事故/顾客投诉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6" w:name="Q勾选Add2"/>
            <w:r>
              <w:rPr>
                <w:rFonts w:hint="eastAsia"/>
              </w:rPr>
              <w:t>□</w:t>
            </w:r>
            <w:bookmarkEnd w:id="3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E勾选Add2"/>
            <w:r>
              <w:rPr>
                <w:rFonts w:hint="eastAsia"/>
              </w:rPr>
              <w:t>□</w:t>
            </w:r>
            <w:bookmarkEnd w:id="3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S勾选Add2"/>
            <w:r>
              <w:rPr>
                <w:rFonts w:hint="eastAsia"/>
              </w:rPr>
              <w:t>□</w:t>
            </w:r>
            <w:bookmarkEnd w:id="3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F勾选Add2"/>
            <w:r>
              <w:rPr>
                <w:rFonts w:hint="eastAsia"/>
              </w:rPr>
              <w:t>■</w:t>
            </w:r>
            <w:bookmarkEnd w:id="39"/>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40" w:name="H勾选Add2"/>
            <w:r>
              <w:rPr>
                <w:rFonts w:hint="eastAsia"/>
              </w:rPr>
              <w:t>□</w:t>
            </w:r>
            <w:bookmarkEnd w:id="40"/>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bookmarkStart w:id="41" w:name="范围变化"/>
            <w:bookmarkEnd w:id="41"/>
            <w:r>
              <w:rPr>
                <w:rFonts w:hint="eastAsia"/>
              </w:rPr>
              <w:t>审核范围变更</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w:t>
            </w:r>
            <w:r>
              <w:rPr>
                <w:rFonts w:hint="eastAsia"/>
                <w:lang w:val="en-US" w:eastAsia="zh-CN"/>
              </w:rPr>
              <w:t xml:space="preserve">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rFonts w:hint="eastAsia"/>
              </w:rPr>
            </w:pPr>
            <w:r>
              <w:rPr>
                <w:rFonts w:hint="eastAsia"/>
              </w:rPr>
              <w:sym w:font="Wingdings 2" w:char="0052"/>
            </w:r>
            <w:r>
              <w:rPr>
                <w:rFonts w:hint="eastAsia"/>
              </w:rPr>
              <w:t>在完成纠正措施后推荐</w:t>
            </w:r>
            <w:r>
              <w:rPr>
                <w:rFonts w:hint="eastAsia"/>
                <w:lang w:val="en-US" w:eastAsia="zh-CN"/>
              </w:rPr>
              <w:t>恢复</w:t>
            </w:r>
            <w:r>
              <w:rPr>
                <w:rFonts w:hint="eastAsia"/>
              </w:rPr>
              <w:t>注册(</w:t>
            </w:r>
            <w:r>
              <w:rPr>
                <w:rFonts w:hint="eastAsia"/>
              </w:rPr>
              <w:sym w:font="Wingdings 2" w:char="0052"/>
            </w:r>
            <w:r>
              <w:rPr>
                <w:rFonts w:hint="eastAsia"/>
              </w:rPr>
              <w:t>监督审核</w:t>
            </w:r>
            <w:r>
              <w:rPr>
                <w:rFonts w:hint="eastAsia"/>
                <w:lang w:val="en-US" w:eastAsia="zh-CN"/>
              </w:rPr>
              <w:t xml:space="preserve">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1"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bookmarkStart w:id="42" w:name="_GoBack"/>
            <w:bookmarkEnd w:id="42"/>
            <w:r>
              <w:rPr>
                <w:rFonts w:hint="eastAsia" w:eastAsia="宋体"/>
                <w:lang w:eastAsia="zh-CN"/>
              </w:rPr>
              <w:drawing>
                <wp:inline distT="0" distB="0" distL="114300" distR="114300">
                  <wp:extent cx="727710" cy="420370"/>
                  <wp:effectExtent l="0" t="0" r="8890" b="11430"/>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727710" cy="42037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2022-02-26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pPr>
            <w:r>
              <w:rPr>
                <w:rFonts w:hint="eastAsia"/>
              </w:rPr>
              <w:t>审核周期</w:t>
            </w:r>
          </w:p>
        </w:tc>
        <w:tc>
          <w:tcPr>
            <w:tcW w:w="9282" w:type="dxa"/>
            <w:shd w:val="clear" w:color="auto" w:fill="F4B8FF"/>
          </w:tcPr>
          <w:p>
            <w:pPr>
              <w:shd w:val="clear" w:color="auto"/>
              <w:rPr>
                <w:rFonts w:hint="default" w:eastAsia="宋体"/>
                <w:lang w:val="en-US" w:eastAsia="zh-CN"/>
              </w:rPr>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52"/>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pPr>
            <w:r>
              <w:rPr>
                <w:rFonts w:hint="eastAsia"/>
              </w:rPr>
              <w:t>体系要素</w:t>
            </w:r>
          </w:p>
        </w:tc>
        <w:tc>
          <w:tcPr>
            <w:tcW w:w="9282" w:type="dxa"/>
            <w:shd w:val="clear" w:color="auto" w:fill="F4B8FF"/>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pPr>
            <w:r>
              <w:rPr>
                <w:rFonts w:hint="eastAsia"/>
              </w:rPr>
              <w:t>组织环境</w:t>
            </w:r>
          </w:p>
        </w:tc>
        <w:tc>
          <w:tcPr>
            <w:tcW w:w="9282" w:type="dxa"/>
            <w:shd w:val="clear" w:color="auto" w:fill="F4B8FF"/>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rPr>
                      <w:rFonts w:hint="default" w:ascii="Times New Roman" w:hAnsi="Times New Roman" w:cs="Times New Roman"/>
                    </w:rPr>
                  </w:pPr>
                  <w:r>
                    <w:rPr>
                      <w:rFonts w:hint="default" w:ascii="Times New Roman" w:hAnsi="Times New Roman" w:cs="Times New Roman" w:eastAsiaTheme="minorEastAsia"/>
                      <w:szCs w:val="21"/>
                    </w:rPr>
                    <w:t>☑</w:t>
                  </w:r>
                  <w:r>
                    <w:rPr>
                      <w:rFonts w:hint="default" w:ascii="Times New Roman" w:hAnsi="Times New Roman" w:cs="Times New Roman"/>
                      <w:szCs w:val="21"/>
                    </w:rPr>
                    <w:t>法律法规</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技术</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竞争</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市场</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文化</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社会</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经济环境</w:t>
                  </w:r>
                  <w:r>
                    <w:rPr>
                      <w:rFonts w:hint="default" w:ascii="Times New Roman" w:hAnsi="Times New Roman" w:cs="Times New Roman" w:eastAsiaTheme="minorEastAsia"/>
                      <w:szCs w:val="21"/>
                    </w:rPr>
                    <w:t xml:space="preserve"> □网络安全☑食品欺诈 </w:t>
                  </w:r>
                  <w:r>
                    <w:rPr>
                      <w:rFonts w:hint="default" w:ascii="Times New Roman" w:hAnsi="Times New Roman" w:cs="Times New Roman" w:eastAsiaTheme="minorEastAsia"/>
                      <w:szCs w:val="21"/>
                    </w:rPr>
                    <w:sym w:font="Wingdings 2" w:char="0052"/>
                  </w:r>
                  <w:r>
                    <w:rPr>
                      <w:rFonts w:hint="default" w:ascii="Times New Roman" w:hAnsi="Times New Roman" w:cs="Times New Roman" w:eastAsiaTheme="minorEastAsia"/>
                      <w:szCs w:val="21"/>
                    </w:rPr>
                    <w:t xml:space="preserve">食品防护 </w:t>
                  </w:r>
                  <w:r>
                    <w:rPr>
                      <w:rFonts w:hint="default" w:ascii="Times New Roman" w:hAnsi="Times New Roman" w:cs="Times New Roman" w:eastAsiaTheme="minorEastAsia"/>
                      <w:szCs w:val="21"/>
                    </w:rPr>
                    <w:sym w:font="Wingdings 2" w:char="0052"/>
                  </w:r>
                  <w:r>
                    <w:rPr>
                      <w:rFonts w:hint="default" w:ascii="Times New Roman" w:hAnsi="Times New Roman" w:cs="Times New Roman" w:eastAsiaTheme="minorEastAsia"/>
                      <w:szCs w:val="21"/>
                    </w:rPr>
                    <w:t>蓄意污染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47" w:type="dxa"/>
                </w:tcPr>
                <w:p>
                  <w:pPr>
                    <w:shd w:val="clear" w:color="auto"/>
                  </w:pPr>
                  <w:r>
                    <w:rPr>
                      <w:rFonts w:hint="eastAsia"/>
                    </w:rPr>
                    <w:t>内部环境</w:t>
                  </w:r>
                </w:p>
              </w:tc>
              <w:tc>
                <w:tcPr>
                  <w:tcW w:w="7375" w:type="dxa"/>
                </w:tcPr>
                <w:p>
                  <w:pPr>
                    <w:shd w:val="clear" w:color="auto"/>
                    <w:rPr>
                      <w:rFonts w:hint="default" w:ascii="Times New Roman" w:hAnsi="Times New Roman" w:cs="Times New Roman"/>
                    </w:rPr>
                  </w:pPr>
                  <w:r>
                    <w:rPr>
                      <w:rFonts w:hint="default" w:ascii="Times New Roman" w:hAnsi="Times New Roman" w:cs="Times New Roman" w:eastAsiaTheme="minorEastAsia"/>
                      <w:szCs w:val="21"/>
                    </w:rPr>
                    <w:t>☑</w:t>
                  </w:r>
                  <w:r>
                    <w:rPr>
                      <w:rFonts w:hint="default" w:ascii="Times New Roman" w:hAnsi="Times New Roman" w:cs="Times New Roman"/>
                      <w:szCs w:val="21"/>
                    </w:rPr>
                    <w:t>价值观</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文化</w:t>
                  </w: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rPr>
                    <w:sym w:font="Wingdings 2" w:char="0052"/>
                  </w:r>
                  <w:r>
                    <w:rPr>
                      <w:rFonts w:hint="default" w:ascii="Times New Roman" w:hAnsi="Times New Roman" w:cs="Times New Roman" w:eastAsiaTheme="minorEastAsia"/>
                      <w:szCs w:val="21"/>
                    </w:rPr>
                    <w:t>知识 □绩效 ☑</w:t>
                  </w:r>
                  <w:r>
                    <w:rPr>
                      <w:rFonts w:hint="default" w:ascii="Times New Roman" w:hAnsi="Times New Roman" w:cs="Times New Roman"/>
                      <w:szCs w:val="21"/>
                    </w:rPr>
                    <w:t>工艺</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设备</w:t>
                  </w:r>
                  <w:r>
                    <w:rPr>
                      <w:rFonts w:hint="default" w:ascii="Times New Roman" w:hAnsi="Times New Roman" w:cs="Times New Roman" w:eastAsiaTheme="minorEastAsia"/>
                      <w:szCs w:val="21"/>
                    </w:rPr>
                    <w:t xml:space="preserve"> ☑</w:t>
                  </w:r>
                  <w:r>
                    <w:rPr>
                      <w:rFonts w:hint="default" w:ascii="Times New Roman" w:hAnsi="Times New Roman" w:cs="Times New Roman"/>
                      <w:szCs w:val="21"/>
                    </w:rPr>
                    <w:t>人员能力</w:t>
                  </w:r>
                  <w:r>
                    <w:rPr>
                      <w:rFonts w:hint="default" w:ascii="Times New Roman" w:hAnsi="Times New Roman" w:cs="Times New Roman" w:eastAsiaTheme="minorEastAsia"/>
                      <w:szCs w:val="21"/>
                    </w:rPr>
                    <w:t xml:space="preserve">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pPr>
          </w:p>
        </w:tc>
        <w:tc>
          <w:tcPr>
            <w:tcW w:w="9282" w:type="dxa"/>
            <w:shd w:val="clear" w:color="auto" w:fill="F4B8FF"/>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pacing w:before="40" w:after="40"/>
            </w:pPr>
            <w:r>
              <w:rPr>
                <w:rFonts w:hint="eastAsia"/>
              </w:rPr>
              <w:t xml:space="preserve">□建立FSMS □危害分析 □制订PRP和OPRP、HACCP计划 □生产/服务过程  □产品运输 </w:t>
            </w:r>
          </w:p>
          <w:p>
            <w:pPr>
              <w:spacing w:before="40" w:after="40"/>
              <w:rPr>
                <w:rFonts w:hint="default" w:eastAsia="宋体"/>
                <w:lang w:val="en-US" w:eastAsia="zh-CN"/>
              </w:rPr>
            </w:pPr>
            <w:r>
              <w:rPr>
                <w:rFonts w:hint="eastAsia"/>
              </w:rPr>
              <w:t xml:space="preserve">□设备维修   □人员培训 □PRP和OPRP、HACCP验证  </w:t>
            </w:r>
            <w:r>
              <w:rPr>
                <w:rFonts w:hint="eastAsia"/>
              </w:rPr>
              <w:sym w:font="Wingdings 2" w:char="0052"/>
            </w:r>
            <w:r>
              <w:rPr>
                <w:rFonts w:hint="eastAsia"/>
              </w:rPr>
              <w:t>其他——</w:t>
            </w:r>
            <w:r>
              <w:rPr>
                <w:rFonts w:hint="eastAsia"/>
                <w:lang w:val="en-US" w:eastAsia="zh-CN"/>
              </w:rPr>
              <w:t>虫鼠害控制</w:t>
            </w:r>
          </w:p>
          <w:p>
            <w:pPr>
              <w:pStyle w:val="2"/>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pPr>
            <w:r>
              <w:rPr>
                <w:rFonts w:hint="eastAsia"/>
              </w:rPr>
              <w:t>领导作用</w:t>
            </w:r>
          </w:p>
        </w:tc>
        <w:tc>
          <w:tcPr>
            <w:tcW w:w="9282" w:type="dxa"/>
            <w:shd w:val="clear" w:color="auto" w:fill="F4B8FF"/>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eastAsia"/>
              </w:rPr>
            </w:pPr>
            <w:r>
              <w:rPr>
                <w:rFonts w:hint="eastAsia"/>
              </w:rPr>
              <w:t>最高管理者制定了文件化的食品安全管理体系方针：</w:t>
            </w:r>
          </w:p>
          <w:p>
            <w:pPr>
              <w:shd w:val="clear" w:color="auto"/>
              <w:rPr>
                <w:rFonts w:hint="eastAsia"/>
                <w:b/>
                <w:bCs/>
                <w:szCs w:val="22"/>
                <w:u w:val="single"/>
              </w:rPr>
            </w:pPr>
          </w:p>
          <w:p>
            <w:pPr>
              <w:shd w:val="clear" w:color="auto"/>
              <w:ind w:firstLine="211" w:firstLineChars="100"/>
              <w:rPr>
                <w:rFonts w:hint="eastAsia"/>
                <w:b/>
                <w:bCs/>
                <w:szCs w:val="22"/>
                <w:u w:val="single"/>
              </w:rPr>
            </w:pPr>
            <w:r>
              <w:rPr>
                <w:rFonts w:hint="eastAsia"/>
                <w:b/>
                <w:bCs/>
                <w:szCs w:val="22"/>
                <w:u w:val="single"/>
              </w:rPr>
              <w:t>以客户对食品相关产品的质量安全关注为要求，规范操作，提供符合法规，符合客户需求的产品。</w:t>
            </w:r>
          </w:p>
          <w:p>
            <w:pPr>
              <w:pStyle w:val="2"/>
              <w:rPr>
                <w:rFonts w:hint="eastAsia"/>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林爱梅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264" w:hRule="atLeast"/>
        </w:trPr>
        <w:tc>
          <w:tcPr>
            <w:tcW w:w="680" w:type="dxa"/>
            <w:vMerge w:val="restart"/>
            <w:shd w:val="clear" w:color="auto" w:fill="F4B8FF"/>
          </w:tcPr>
          <w:p>
            <w:pPr>
              <w:shd w:val="clear" w:color="auto"/>
            </w:pPr>
            <w:r>
              <w:rPr>
                <w:rFonts w:hint="eastAsia"/>
              </w:rPr>
              <w:t>策划</w:t>
            </w:r>
          </w:p>
        </w:tc>
        <w:tc>
          <w:tcPr>
            <w:tcW w:w="9282" w:type="dxa"/>
            <w:shd w:val="clear" w:color="auto" w:fill="F4B8FF"/>
          </w:tcPr>
          <w:p>
            <w:pPr>
              <w:shd w:val="clear" w:color="auto"/>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840" w:type="dxa"/>
                  <w:vAlign w:val="center"/>
                </w:tcPr>
                <w:p>
                  <w:pPr>
                    <w:rPr>
                      <w:rFonts w:hint="default" w:ascii="Times New Roman" w:hAnsi="Times New Roman" w:eastAsia="宋体" w:cs="Times New Roman"/>
                      <w:kern w:val="2"/>
                      <w:sz w:val="21"/>
                      <w:szCs w:val="24"/>
                      <w:lang w:val="en-US" w:eastAsia="zh-CN" w:bidi="ar-SA"/>
                    </w:rPr>
                  </w:pPr>
                  <w:r>
                    <w:rPr>
                      <w:rFonts w:hint="eastAsia"/>
                      <w:szCs w:val="22"/>
                      <w:highlight w:val="none"/>
                      <w:lang w:val="en-US" w:eastAsia="zh-CN"/>
                    </w:rPr>
                    <w:t>产</w:t>
                  </w:r>
                  <w:r>
                    <w:rPr>
                      <w:rFonts w:hint="eastAsia" w:ascii="Times New Roman" w:hAnsi="Times New Roman" w:eastAsia="宋体" w:cs="Times New Roman"/>
                      <w:szCs w:val="22"/>
                      <w:highlight w:val="none"/>
                      <w:lang w:val="en-US" w:eastAsia="zh-CN"/>
                    </w:rPr>
                    <w:t>品不能及时发货</w:t>
                  </w:r>
                </w:p>
              </w:tc>
              <w:tc>
                <w:tcPr>
                  <w:tcW w:w="3965" w:type="dxa"/>
                  <w:vAlign w:val="center"/>
                </w:tcPr>
                <w:p>
                  <w:pPr>
                    <w:numPr>
                      <w:ilvl w:val="0"/>
                      <w:numId w:val="2"/>
                    </w:numPr>
                    <w:rPr>
                      <w:rFonts w:hint="default"/>
                      <w:highlight w:val="none"/>
                      <w:lang w:val="en-US" w:eastAsia="zh-CN"/>
                    </w:rPr>
                  </w:pPr>
                  <w:r>
                    <w:rPr>
                      <w:rFonts w:hint="eastAsia"/>
                      <w:highlight w:val="none"/>
                      <w:lang w:val="en-US" w:eastAsia="zh-CN"/>
                    </w:rPr>
                    <w:t>合理安排客户订单；</w:t>
                  </w:r>
                </w:p>
                <w:p>
                  <w:pPr>
                    <w:pStyle w:val="2"/>
                    <w:numPr>
                      <w:ilvl w:val="0"/>
                      <w:numId w:val="2"/>
                    </w:numPr>
                    <w:tabs>
                      <w:tab w:val="left" w:pos="540"/>
                    </w:tabs>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highlight w:val="none"/>
                      <w:lang w:val="en-US" w:eastAsia="zh-CN"/>
                    </w:rPr>
                    <w:t>合格安排货运船只；</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eastAsia" w:ascii="Times New Roman" w:hAnsi="Times New Roman" w:eastAsia="宋体" w:cs="Times New Roman"/>
                      <w:kern w:val="2"/>
                      <w:sz w:val="21"/>
                      <w:szCs w:val="24"/>
                      <w:lang w:val="en-US" w:eastAsia="zh-CN" w:bidi="ar-SA"/>
                    </w:rPr>
                  </w:pPr>
                </w:p>
              </w:tc>
              <w:tc>
                <w:tcPr>
                  <w:tcW w:w="3965" w:type="dxa"/>
                  <w:vAlign w:val="top"/>
                </w:tcPr>
                <w:p>
                  <w:pPr>
                    <w:pStyle w:val="14"/>
                    <w:numPr>
                      <w:numId w:val="0"/>
                    </w:numPr>
                    <w:shd w:val="clear"/>
                    <w:ind w:leftChars="0"/>
                    <w:rPr>
                      <w:rFonts w:hint="eastAsia" w:ascii="Times New Roman" w:hAnsi="Times New Roman" w:eastAsia="宋体" w:cs="Times New Roman"/>
                      <w:bCs/>
                      <w:spacing w:val="10"/>
                      <w:kern w:val="2"/>
                      <w:sz w:val="21"/>
                      <w:szCs w:val="24"/>
                      <w:lang w:val="en-US" w:eastAsia="zh-CN" w:bidi="ar-SA"/>
                    </w:rPr>
                  </w:pPr>
                </w:p>
              </w:tc>
              <w:tc>
                <w:tcPr>
                  <w:tcW w:w="1717" w:type="dxa"/>
                  <w:vAlign w:val="top"/>
                </w:tcPr>
                <w:p>
                  <w:pPr>
                    <w:shd w:val="clea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default" w:cs="宋体" w:asciiTheme="minorEastAsia" w:hAnsiTheme="minorEastAsia" w:eastAsiaTheme="minorEastAsia"/>
                      <w:color w:val="000000"/>
                      <w:kern w:val="2"/>
                      <w:sz w:val="21"/>
                      <w:szCs w:val="21"/>
                      <w:highlight w:val="none"/>
                      <w:lang w:val="en-US" w:eastAsia="zh-CN" w:bidi="ar-SA"/>
                    </w:rPr>
                  </w:pPr>
                  <w:r>
                    <w:rPr>
                      <w:rFonts w:hint="eastAsia" w:cs="宋体" w:asciiTheme="minorEastAsia" w:hAnsiTheme="minorEastAsia" w:eastAsiaTheme="minorEastAsia"/>
                      <w:color w:val="000000"/>
                      <w:szCs w:val="21"/>
                      <w:highlight w:val="none"/>
                      <w:lang w:val="en-US" w:eastAsia="zh-CN"/>
                    </w:rPr>
                    <w:t>出口为主</w:t>
                  </w:r>
                </w:p>
              </w:tc>
              <w:tc>
                <w:tcPr>
                  <w:tcW w:w="3965" w:type="dxa"/>
                  <w:vAlign w:val="top"/>
                </w:tcPr>
                <w:p>
                  <w:pPr>
                    <w:widowControl/>
                    <w:numPr>
                      <w:ilvl w:val="0"/>
                      <w:numId w:val="3"/>
                    </w:numPr>
                    <w:jc w:val="left"/>
                    <w:textAlignment w:val="center"/>
                    <w:rPr>
                      <w:rFonts w:hint="default" w:cs="宋体" w:asciiTheme="minorEastAsia" w:hAnsiTheme="minorEastAsia" w:eastAsiaTheme="minorEastAsia"/>
                      <w:color w:val="000000"/>
                      <w:kern w:val="2"/>
                      <w:sz w:val="21"/>
                      <w:szCs w:val="21"/>
                      <w:highlight w:val="none"/>
                      <w:lang w:val="en-US" w:eastAsia="zh-CN" w:bidi="ar-SA"/>
                    </w:rPr>
                  </w:pPr>
                  <w:r>
                    <w:rPr>
                      <w:rFonts w:hint="eastAsia" w:cs="宋体" w:asciiTheme="minorEastAsia" w:hAnsiTheme="minorEastAsia" w:eastAsiaTheme="minorEastAsia"/>
                      <w:color w:val="000000"/>
                      <w:kern w:val="2"/>
                      <w:sz w:val="21"/>
                      <w:szCs w:val="21"/>
                      <w:highlight w:val="none"/>
                      <w:lang w:val="en-US" w:eastAsia="zh-CN" w:bidi="ar-SA"/>
                    </w:rPr>
                    <w:t>继续保持与客户的良好合作关系；</w:t>
                  </w:r>
                </w:p>
                <w:p>
                  <w:pPr>
                    <w:widowControl/>
                    <w:numPr>
                      <w:ilvl w:val="0"/>
                      <w:numId w:val="3"/>
                    </w:numPr>
                    <w:ind w:left="0" w:leftChars="0" w:firstLine="0" w:firstLineChars="0"/>
                    <w:jc w:val="left"/>
                    <w:textAlignment w:val="center"/>
                    <w:rPr>
                      <w:rFonts w:hint="default" w:cs="宋体" w:asciiTheme="minorEastAsia" w:hAnsiTheme="minorEastAsia" w:eastAsiaTheme="minorEastAsia"/>
                      <w:color w:val="000000"/>
                      <w:kern w:val="2"/>
                      <w:sz w:val="21"/>
                      <w:szCs w:val="21"/>
                      <w:highlight w:val="none"/>
                      <w:lang w:val="en-US" w:eastAsia="zh-CN" w:bidi="ar-SA"/>
                    </w:rPr>
                  </w:pPr>
                  <w:r>
                    <w:rPr>
                      <w:rFonts w:hint="eastAsia" w:cs="宋体" w:asciiTheme="minorEastAsia" w:hAnsiTheme="minorEastAsia" w:eastAsiaTheme="minorEastAsia"/>
                      <w:color w:val="000000"/>
                      <w:kern w:val="2"/>
                      <w:sz w:val="21"/>
                      <w:szCs w:val="21"/>
                      <w:highlight w:val="none"/>
                      <w:lang w:val="en-US" w:eastAsia="zh-CN" w:bidi="ar-SA"/>
                    </w:rPr>
                    <w:t>通过体系持续提升食品安全管理能力，应对新客户新机遇</w:t>
                  </w: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default" w:cs="宋体" w:asciiTheme="minorEastAsia" w:hAnsiTheme="minorEastAsia" w:eastAsiaTheme="minorEastAsia"/>
                      <w:color w:val="000000"/>
                      <w:kern w:val="2"/>
                      <w:sz w:val="21"/>
                      <w:szCs w:val="21"/>
                      <w:highlight w:val="none"/>
                      <w:lang w:val="en-US" w:eastAsia="zh-CN" w:bidi="ar-SA"/>
                    </w:rPr>
                  </w:pPr>
                  <w:r>
                    <w:rPr>
                      <w:rFonts w:hint="eastAsia" w:cs="宋体" w:asciiTheme="minorEastAsia" w:hAnsiTheme="minorEastAsia" w:eastAsiaTheme="minorEastAsia"/>
                      <w:color w:val="000000"/>
                      <w:szCs w:val="21"/>
                      <w:highlight w:val="none"/>
                      <w:lang w:val="en-US" w:eastAsia="zh-CN"/>
                    </w:rPr>
                    <w:t>产品具有较强竞争力</w:t>
                  </w:r>
                </w:p>
              </w:tc>
              <w:tc>
                <w:tcPr>
                  <w:tcW w:w="3965" w:type="dxa"/>
                  <w:vAlign w:val="top"/>
                </w:tcPr>
                <w:p>
                  <w:pPr>
                    <w:pStyle w:val="2"/>
                    <w:numPr>
                      <w:ilvl w:val="0"/>
                      <w:numId w:val="0"/>
                    </w:numPr>
                    <w:tabs>
                      <w:tab w:val="left" w:pos="540"/>
                    </w:tabs>
                    <w:ind w:left="0" w:leftChars="0" w:firstLine="0" w:firstLineChars="0"/>
                    <w:jc w:val="left"/>
                    <w:rPr>
                      <w:rFonts w:hint="default" w:cs="宋体" w:asciiTheme="minorEastAsia" w:hAnsiTheme="minorEastAsia" w:eastAsiaTheme="minorEastAsia"/>
                      <w:color w:val="000000"/>
                      <w:kern w:val="2"/>
                      <w:sz w:val="21"/>
                      <w:szCs w:val="21"/>
                      <w:highlight w:val="none"/>
                      <w:lang w:val="en-US" w:eastAsia="zh-CN" w:bidi="ar-SA"/>
                    </w:rPr>
                  </w:pPr>
                  <w:r>
                    <w:rPr>
                      <w:rFonts w:hint="eastAsia" w:cs="宋体" w:asciiTheme="minorEastAsia" w:hAnsiTheme="minorEastAsia" w:eastAsiaTheme="minorEastAsia"/>
                      <w:b w:val="0"/>
                      <w:bCs/>
                      <w:color w:val="000000"/>
                      <w:kern w:val="2"/>
                      <w:sz w:val="21"/>
                      <w:szCs w:val="21"/>
                      <w:highlight w:val="none"/>
                      <w:lang w:val="en-US" w:eastAsia="zh-CN" w:bidi="ar-SA"/>
                    </w:rPr>
                    <w:t>扩大产品上游市场；继续控成品、增加竞争力</w:t>
                  </w:r>
                </w:p>
              </w:tc>
              <w:tc>
                <w:tcPr>
                  <w:tcW w:w="1717" w:type="dxa"/>
                </w:tcPr>
                <w:p>
                  <w:pPr>
                    <w:shd w:val="clear" w:color="auto"/>
                  </w:pPr>
                  <w:r>
                    <w:rPr>
                      <w:rFonts w:hint="eastAsia"/>
                      <w:lang w:val="en-US" w:eastAsia="zh-CN"/>
                    </w:rPr>
                    <w:t>基本有效</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1111"/>
              <w:gridCol w:w="248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shd w:val="clear" w:color="auto" w:fill="auto"/>
                </w:tcPr>
                <w:p>
                  <w:pPr>
                    <w:shd w:val="clear"/>
                    <w:rPr>
                      <w:rFonts w:ascii="宋体" w:hAnsi="宋体"/>
                      <w:szCs w:val="21"/>
                    </w:rPr>
                  </w:pPr>
                  <w:r>
                    <w:rPr>
                      <w:rFonts w:hint="eastAsia" w:ascii="宋体" w:hAnsi="宋体"/>
                      <w:szCs w:val="21"/>
                    </w:rPr>
                    <w:t>食品安全目标</w:t>
                  </w:r>
                </w:p>
              </w:tc>
              <w:tc>
                <w:tcPr>
                  <w:tcW w:w="1111" w:type="dxa"/>
                  <w:shd w:val="clear" w:color="auto" w:fill="auto"/>
                </w:tcPr>
                <w:p>
                  <w:pPr>
                    <w:shd w:val="clear"/>
                    <w:rPr>
                      <w:rFonts w:ascii="宋体" w:hAnsi="宋体"/>
                      <w:szCs w:val="21"/>
                    </w:rPr>
                  </w:pPr>
                  <w:r>
                    <w:rPr>
                      <w:rFonts w:hint="eastAsia" w:ascii="宋体" w:hAnsi="宋体"/>
                      <w:szCs w:val="21"/>
                    </w:rPr>
                    <w:t>计算方法</w:t>
                  </w:r>
                </w:p>
              </w:tc>
              <w:tc>
                <w:tcPr>
                  <w:tcW w:w="2489" w:type="dxa"/>
                  <w:shd w:val="clear" w:color="auto" w:fill="auto"/>
                </w:tcPr>
                <w:p>
                  <w:pPr>
                    <w:shd w:val="clear"/>
                    <w:rPr>
                      <w:rFonts w:ascii="宋体" w:hAnsi="宋体"/>
                      <w:szCs w:val="21"/>
                    </w:rPr>
                  </w:pPr>
                  <w:r>
                    <w:rPr>
                      <w:rFonts w:hint="eastAsia" w:ascii="宋体" w:hAnsi="宋体"/>
                      <w:szCs w:val="21"/>
                    </w:rPr>
                    <w:t>责任部门</w:t>
                  </w:r>
                </w:p>
              </w:tc>
              <w:tc>
                <w:tcPr>
                  <w:tcW w:w="1774" w:type="dxa"/>
                  <w:shd w:val="clear" w:color="auto" w:fill="auto"/>
                </w:tcPr>
                <w:p>
                  <w:pPr>
                    <w:shd w:val="clear"/>
                    <w:rPr>
                      <w:rFonts w:ascii="宋体" w:hAnsi="宋体"/>
                      <w:szCs w:val="21"/>
                    </w:rPr>
                  </w:pPr>
                  <w:r>
                    <w:rPr>
                      <w:rFonts w:hint="eastAsia" w:ascii="宋体" w:hAnsi="宋体"/>
                      <w:szCs w:val="21"/>
                    </w:rPr>
                    <w:t>目标实际完成</w:t>
                  </w:r>
                </w:p>
                <w:p>
                  <w:pPr>
                    <w:shd w:val="clear"/>
                    <w:rPr>
                      <w:rFonts w:ascii="宋体" w:hAnsi="宋体"/>
                      <w:szCs w:val="21"/>
                    </w:rPr>
                  </w:pPr>
                  <w:r>
                    <w:rPr>
                      <w:rFonts w:hint="eastAsia" w:ascii="宋体" w:hAnsi="宋体"/>
                      <w:szCs w:val="21"/>
                    </w:rPr>
                    <w:t>（</w:t>
                  </w:r>
                  <w:r>
                    <w:rPr>
                      <w:rFonts w:hint="eastAsia" w:ascii="宋体" w:hAnsi="宋体"/>
                      <w:szCs w:val="21"/>
                      <w:lang w:val="en-US" w:eastAsia="zh-CN"/>
                    </w:rPr>
                    <w:t>2021年度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顾客满意度≥95分</w:t>
                  </w:r>
                </w:p>
              </w:tc>
              <w:tc>
                <w:tcPr>
                  <w:tcW w:w="1111" w:type="dxa"/>
                  <w:shd w:val="clear" w:color="auto" w:fill="auto"/>
                  <w:vAlign w:val="top"/>
                </w:tcPr>
                <w:p>
                  <w:pPr>
                    <w:rPr>
                      <w:rFonts w:hint="default" w:ascii="Times New Roman" w:hAnsi="Times New Roman" w:eastAsia="宋体" w:cs="Times New Roman"/>
                      <w:kern w:val="2"/>
                      <w:sz w:val="21"/>
                      <w:szCs w:val="22"/>
                      <w:highlight w:val="none"/>
                      <w:lang w:val="en-GB" w:eastAsia="zh-CN" w:bidi="ar-SA"/>
                    </w:rPr>
                  </w:pPr>
                  <w:r>
                    <w:rPr>
                      <w:rFonts w:hint="eastAsia"/>
                      <w:szCs w:val="22"/>
                      <w:highlight w:val="none"/>
                    </w:rPr>
                    <w:t>每年</w:t>
                  </w:r>
                </w:p>
              </w:tc>
              <w:tc>
                <w:tcPr>
                  <w:tcW w:w="2489" w:type="dxa"/>
                  <w:shd w:val="clear" w:color="auto" w:fill="auto"/>
                  <w:vAlign w:val="top"/>
                </w:tcPr>
                <w:p>
                  <w:pPr>
                    <w:rPr>
                      <w:rFonts w:hint="default" w:ascii="Times New Roman" w:hAnsi="Times New Roman" w:eastAsia="宋体" w:cs="Times New Roman"/>
                      <w:kern w:val="2"/>
                      <w:sz w:val="21"/>
                      <w:szCs w:val="22"/>
                      <w:highlight w:val="none"/>
                      <w:lang w:val="en-GB" w:eastAsia="zh-CN" w:bidi="ar-SA"/>
                    </w:rPr>
                  </w:pPr>
                  <w:r>
                    <w:rPr>
                      <w:rFonts w:hint="eastAsia"/>
                      <w:szCs w:val="22"/>
                      <w:highlight w:val="none"/>
                    </w:rPr>
                    <w:t>平均年度满意度分值</w:t>
                  </w:r>
                </w:p>
              </w:tc>
              <w:tc>
                <w:tcPr>
                  <w:tcW w:w="1774"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lang w:val="en-GB"/>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顾客投诉次数≤ 2 次/季</w:t>
                  </w:r>
                </w:p>
              </w:tc>
              <w:tc>
                <w:tcPr>
                  <w:tcW w:w="1111"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季度</w:t>
                  </w:r>
                </w:p>
              </w:tc>
              <w:tc>
                <w:tcPr>
                  <w:tcW w:w="2489"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实际发生次数</w:t>
                  </w:r>
                </w:p>
              </w:tc>
              <w:tc>
                <w:tcPr>
                  <w:tcW w:w="1774"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全年重大食品安全事故为：0</w:t>
                  </w:r>
                </w:p>
              </w:tc>
              <w:tc>
                <w:tcPr>
                  <w:tcW w:w="1111"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季度</w:t>
                  </w:r>
                </w:p>
              </w:tc>
              <w:tc>
                <w:tcPr>
                  <w:tcW w:w="2489"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实际发生次数</w:t>
                  </w:r>
                </w:p>
              </w:tc>
              <w:tc>
                <w:tcPr>
                  <w:tcW w:w="1774"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成品质量合格率≥95%</w:t>
                  </w:r>
                </w:p>
              </w:tc>
              <w:tc>
                <w:tcPr>
                  <w:tcW w:w="1111"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每月</w:t>
                  </w:r>
                </w:p>
              </w:tc>
              <w:tc>
                <w:tcPr>
                  <w:tcW w:w="2489"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成品质量合格批数/成品总批数*100％</w:t>
                  </w:r>
                </w:p>
              </w:tc>
              <w:tc>
                <w:tcPr>
                  <w:tcW w:w="1774" w:type="dxa"/>
                  <w:shd w:val="clear" w:color="auto" w:fill="auto"/>
                  <w:vAlign w:val="top"/>
                </w:tcPr>
                <w:p>
                  <w:pPr>
                    <w:rPr>
                      <w:rFonts w:hint="eastAsia" w:ascii="Times New Roman" w:hAnsi="Times New Roman" w:eastAsia="宋体" w:cs="Times New Roman"/>
                      <w:kern w:val="2"/>
                      <w:sz w:val="21"/>
                      <w:szCs w:val="22"/>
                      <w:highlight w:val="none"/>
                      <w:lang w:val="en-US" w:eastAsia="zh-CN" w:bidi="ar-SA"/>
                    </w:rPr>
                  </w:pPr>
                  <w:r>
                    <w:rPr>
                      <w:rFonts w:hint="eastAsia"/>
                      <w:szCs w:val="22"/>
                      <w:highlight w:val="none"/>
                      <w:lang w:val="en-US" w:eastAsia="zh-CN"/>
                    </w:rPr>
                    <w:t>已完成</w:t>
                  </w:r>
                </w:p>
              </w:tc>
            </w:tr>
          </w:tbl>
          <w:p>
            <w:pPr>
              <w:pStyle w:val="2"/>
              <w:shd w:val="clear"/>
              <w:ind w:left="0" w:leftChars="0" w:firstLine="0" w:firstLineChars="0"/>
              <w:rPr>
                <w:rFonts w:hint="eastAsia"/>
              </w:rPr>
            </w:pPr>
          </w:p>
          <w:p>
            <w:pPr>
              <w:rPr>
                <w:rFonts w:hint="eastAsia" w:eastAsia="宋体"/>
                <w:lang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2021年度已实现</w:t>
            </w:r>
            <w:r>
              <w:rPr>
                <w:rFonts w:hint="eastAsia"/>
                <w:lang w:val="en-US" w:eastAsia="zh-CN"/>
              </w:rPr>
              <w:t>，</w:t>
            </w:r>
            <w:r>
              <w:rPr>
                <w:rFonts w:hint="eastAsia"/>
                <w:highlight w:val="none"/>
                <w:lang w:val="en-US" w:eastAsia="zh-CN"/>
              </w:rPr>
              <w:t>2022年度目标在实施中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pPr>
            <w:r>
              <w:rPr>
                <w:rFonts w:hint="eastAsia"/>
              </w:rPr>
              <w:t>支持</w:t>
            </w:r>
          </w:p>
        </w:tc>
        <w:tc>
          <w:tcPr>
            <w:tcW w:w="9282" w:type="dxa"/>
            <w:shd w:val="clear" w:color="auto" w:fill="F4B8FF"/>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rPr>
                <w:rFonts w:hint="eastAsia"/>
                <w:highlight w:val="none"/>
              </w:rPr>
            </w:pPr>
            <w:r>
              <w:rPr>
                <w:rFonts w:hint="eastAsia"/>
                <w:highlight w:val="none"/>
              </w:rPr>
              <w:t>组织应确定、提供并维护所需的基础设施情况：</w:t>
            </w:r>
          </w:p>
          <w:p>
            <w:r>
              <w:rPr>
                <w:rFonts w:hint="eastAsia"/>
              </w:rPr>
              <w:t>建筑面积</w:t>
            </w:r>
            <w:r>
              <w:rPr>
                <w:rFonts w:hint="eastAsia"/>
                <w:u w:val="single"/>
              </w:rPr>
              <w:t xml:space="preserve"> 2100 </w:t>
            </w:r>
            <w:r>
              <w:rPr>
                <w:rFonts w:hint="eastAsia"/>
              </w:rPr>
              <w:t>平方米；加工间</w:t>
            </w:r>
            <w:r>
              <w:rPr>
                <w:rFonts w:hint="eastAsia"/>
                <w:u w:val="single"/>
              </w:rPr>
              <w:t xml:space="preserve"> 1 </w:t>
            </w:r>
            <w:r>
              <w:rPr>
                <w:rFonts w:hint="eastAsia"/>
              </w:rPr>
              <w:t>个；库房</w:t>
            </w:r>
            <w:r>
              <w:rPr>
                <w:rFonts w:hint="eastAsia"/>
                <w:u w:val="single"/>
              </w:rPr>
              <w:t xml:space="preserve"> 2 </w:t>
            </w:r>
            <w:r>
              <w:rPr>
                <w:rFonts w:hint="eastAsia"/>
              </w:rPr>
              <w:t>个；化验室</w:t>
            </w:r>
            <w:r>
              <w:rPr>
                <w:rFonts w:hint="eastAsia"/>
                <w:u w:val="single"/>
              </w:rPr>
              <w:t xml:space="preserve"> 1 </w:t>
            </w:r>
            <w:r>
              <w:rPr>
                <w:rFonts w:hint="eastAsia"/>
              </w:rPr>
              <w:t>个；办公室</w:t>
            </w:r>
            <w:r>
              <w:rPr>
                <w:rFonts w:hint="eastAsia"/>
                <w:u w:val="single"/>
              </w:rPr>
              <w:t xml:space="preserve"> 1 </w:t>
            </w:r>
            <w:r>
              <w:rPr>
                <w:rFonts w:hint="eastAsia"/>
              </w:rPr>
              <w:t>个；</w:t>
            </w:r>
          </w:p>
          <w:p>
            <w:pPr>
              <w:shd w:val="clear"/>
              <w:rPr>
                <w:u w:val="single"/>
              </w:rPr>
            </w:pPr>
            <w:r>
              <w:rPr>
                <w:rFonts w:hint="eastAsia"/>
              </w:rPr>
              <w:t>主要生产设备有：</w:t>
            </w:r>
            <w:r>
              <w:rPr>
                <w:rFonts w:hint="eastAsia"/>
                <w:u w:val="single"/>
              </w:rPr>
              <w:t xml:space="preserve"> 全自动微电脑高速吸塑机、液压杯盖成型机、螺旋式压缩机、裁断机                          （列举2~4种）</w:t>
            </w:r>
          </w:p>
          <w:p>
            <w:pPr>
              <w:pStyle w:val="6"/>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pPr>
          </w:p>
        </w:tc>
        <w:tc>
          <w:tcPr>
            <w:tcW w:w="9282" w:type="dxa"/>
            <w:shd w:val="clear" w:color="auto" w:fill="F4B8FF"/>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12 </w:t>
            </w:r>
            <w:r>
              <w:rPr>
                <w:rFonts w:hint="eastAsia"/>
                <w:strike w:val="0"/>
                <w:dstrike w:val="0"/>
                <w:szCs w:val="21"/>
                <w:highlight w:val="none"/>
              </w:rPr>
              <w:t>家，例如：</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rPr>
              <w:t>片材</w:t>
            </w:r>
            <w:r>
              <w:t>（</w:t>
            </w:r>
            <w:r>
              <w:rPr>
                <w:rFonts w:hint="eastAsia"/>
              </w:rPr>
              <w:t>PET\P</w:t>
            </w:r>
            <w:r>
              <w:rPr>
                <w:rFonts w:hint="eastAsia"/>
                <w:lang w:val="en-US" w:eastAsia="zh-CN"/>
              </w:rPr>
              <w:t>P</w:t>
            </w:r>
            <w:r>
              <w:rPr>
                <w:rFonts w:hint="eastAsia"/>
              </w:rPr>
              <w:t>）</w:t>
            </w:r>
            <w:r>
              <w:rPr>
                <w:rFonts w:hint="eastAsia"/>
                <w:strike w:val="0"/>
                <w:dstrike w:val="0"/>
                <w:color w:val="auto"/>
                <w:szCs w:val="20"/>
                <w:highlight w:val="none"/>
                <w:lang w:val="en-US" w:eastAsia="zh-CN"/>
              </w:rPr>
              <w:t>（</w:t>
            </w:r>
            <w:r>
              <w:rPr>
                <w:rFonts w:hint="eastAsia"/>
              </w:rPr>
              <w:t>厦门</w:t>
            </w:r>
            <w:r>
              <w:t>达山</w:t>
            </w:r>
            <w:r>
              <w:rPr>
                <w:rFonts w:hint="eastAsia"/>
              </w:rPr>
              <w:t>新</w:t>
            </w:r>
            <w:r>
              <w:t>材料有限公</w:t>
            </w:r>
            <w:r>
              <w:rPr>
                <w:rFonts w:hint="eastAsia"/>
              </w:rPr>
              <w:t>司</w:t>
            </w:r>
            <w:r>
              <w:rPr>
                <w:rFonts w:hint="eastAsia"/>
                <w:strike w:val="0"/>
                <w:dstrike w:val="0"/>
                <w:color w:val="auto"/>
                <w:szCs w:val="20"/>
                <w:highlight w:val="none"/>
                <w:lang w:val="en-US" w:eastAsia="zh-CN"/>
              </w:rPr>
              <w:t>）；</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u w:val="single"/>
                <w:lang w:val="en-US" w:eastAsia="zh-CN"/>
              </w:rPr>
              <w:t>PP/PET/PS的供方 漳州旺美华塑胶制品有限公司；</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u w:val="single"/>
                <w:lang w:val="en-US" w:eastAsia="zh-CN"/>
              </w:rPr>
              <w:t>模具的供方厦门东兴盛模具执照有限公司；</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u w:val="single"/>
                <w:lang w:val="en-US" w:eastAsia="zh-CN"/>
              </w:rPr>
              <w:t>货物运输的供方——上海衍六国际货物运输代理有限公司厦门分公司</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u w:val="single"/>
                <w:lang w:val="en-US" w:eastAsia="zh-CN"/>
              </w:rPr>
              <w:t>袋子的供方晋江市文足塑料制品有限公司；</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4"/>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外包的供方——</w:t>
            </w:r>
            <w:r>
              <w:rPr>
                <w:rFonts w:hint="eastAsia"/>
                <w:u w:val="single"/>
                <w:lang w:val="en-US" w:eastAsia="zh-CN"/>
              </w:rPr>
              <w:t>虫鼠害防治服务的供方 厦门耀际虫害防治有限公司；</w:t>
            </w:r>
          </w:p>
          <w:p>
            <w:pPr>
              <w:shd w:val="clear" w:color="auto"/>
              <w:jc w:val="left"/>
              <w:rPr>
                <w:rFonts w:hint="eastAsia"/>
                <w:highlight w:val="none"/>
              </w:rPr>
            </w:pPr>
          </w:p>
          <w:p>
            <w:pPr>
              <w:shd w:val="clear" w:color="auto"/>
              <w:jc w:val="left"/>
              <w:rPr>
                <w:highlight w:val="yellow"/>
              </w:rPr>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auto"/>
                <w:highlight w:val="none"/>
                <w:u w:val="single"/>
              </w:rPr>
              <w:t xml:space="preserve">                     </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组织已确定在其控制的工作人员所需具备的能力，并采取措施以获得所需的能力，并评价措施的有效性；</w:t>
            </w:r>
          </w:p>
          <w:p>
            <w:pPr>
              <w:shd w:val="clear" w:color="auto"/>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rPr>
                <w:highlight w:val="none"/>
              </w:rPr>
            </w:pPr>
            <w:r>
              <w:rPr>
                <w:rFonts w:hint="eastAsia"/>
                <w:highlight w:val="none"/>
              </w:rPr>
              <w:t>对国家规定持证上岗的人员资质进行了有效的管理。</w:t>
            </w:r>
          </w:p>
          <w:p>
            <w:pPr>
              <w:shd w:val="clear" w:color="auto"/>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rFonts w:hint="eastAsia"/>
                <w:highlight w:val="none"/>
              </w:rPr>
            </w:pPr>
            <w:r>
              <w:rPr>
                <w:rFonts w:hint="eastAsia"/>
                <w:highlight w:val="none"/>
              </w:rPr>
              <w:t>确保与产品/服务接触的员工定期（近一年）进行了健康体检，并合格上岗。</w:t>
            </w:r>
          </w:p>
          <w:tbl>
            <w:tblPr>
              <w:tblStyle w:val="10"/>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137"/>
              <w:gridCol w:w="2556"/>
              <w:gridCol w:w="214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Pr>
                <w:p>
                  <w:pPr>
                    <w:rPr>
                      <w:highlight w:val="yellow"/>
                    </w:rPr>
                  </w:pPr>
                  <w:r>
                    <w:rPr>
                      <w:rFonts w:hint="eastAsia"/>
                    </w:rPr>
                    <w:t>岗位</w:t>
                  </w:r>
                </w:p>
              </w:tc>
              <w:tc>
                <w:tcPr>
                  <w:tcW w:w="1137" w:type="dxa"/>
                </w:tcPr>
                <w:p>
                  <w:r>
                    <w:rPr>
                      <w:rFonts w:hint="eastAsia"/>
                    </w:rPr>
                    <w:t>姓氏</w:t>
                  </w:r>
                </w:p>
              </w:tc>
              <w:tc>
                <w:tcPr>
                  <w:tcW w:w="2556" w:type="dxa"/>
                </w:tcPr>
                <w:p>
                  <w:r>
                    <w:rPr>
                      <w:rFonts w:hint="eastAsia"/>
                    </w:rPr>
                    <w:t>健康证编号</w:t>
                  </w:r>
                </w:p>
              </w:tc>
              <w:tc>
                <w:tcPr>
                  <w:tcW w:w="2141" w:type="dxa"/>
                </w:tcPr>
                <w:p>
                  <w:r>
                    <w:rPr>
                      <w:rFonts w:hint="eastAsia"/>
                    </w:rPr>
                    <w:t>有效期截止日期</w:t>
                  </w:r>
                </w:p>
              </w:tc>
              <w:tc>
                <w:tcPr>
                  <w:tcW w:w="1499"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44" w:type="dxa"/>
                </w:tcPr>
                <w:p>
                  <w:r>
                    <w:rPr>
                      <w:rFonts w:hint="eastAsia"/>
                    </w:rPr>
                    <w:t>生</w:t>
                  </w:r>
                  <w:r>
                    <w:t>产部</w:t>
                  </w:r>
                  <w:r>
                    <w:rPr>
                      <w:rFonts w:hint="eastAsia"/>
                    </w:rPr>
                    <w:t>厂</w:t>
                  </w:r>
                  <w:r>
                    <w:t>长</w:t>
                  </w:r>
                </w:p>
              </w:tc>
              <w:tc>
                <w:tcPr>
                  <w:tcW w:w="1137" w:type="dxa"/>
                </w:tcPr>
                <w:p>
                  <w:r>
                    <w:rPr>
                      <w:rFonts w:hint="eastAsia"/>
                    </w:rPr>
                    <w:t>李</w:t>
                  </w:r>
                  <w:r>
                    <w:t>青茂</w:t>
                  </w:r>
                </w:p>
              </w:tc>
              <w:tc>
                <w:tcPr>
                  <w:tcW w:w="2556" w:type="dxa"/>
                </w:tcPr>
                <w:p>
                  <w:pPr>
                    <w:rPr>
                      <w:rFonts w:hint="default" w:eastAsia="宋体"/>
                      <w:lang w:val="en-US" w:eastAsia="zh-CN"/>
                    </w:rPr>
                  </w:pPr>
                  <w:r>
                    <w:rPr>
                      <w:rFonts w:hint="eastAsia"/>
                    </w:rPr>
                    <w:t>闽（202</w:t>
                  </w:r>
                  <w:r>
                    <w:rPr>
                      <w:rFonts w:hint="eastAsia"/>
                      <w:lang w:val="en-US" w:eastAsia="zh-CN"/>
                    </w:rPr>
                    <w:t>1</w:t>
                  </w:r>
                  <w:r>
                    <w:rPr>
                      <w:rFonts w:hint="eastAsia"/>
                    </w:rPr>
                    <w:t>）</w:t>
                  </w:r>
                  <w:r>
                    <w:t>2102-0</w:t>
                  </w:r>
                  <w:r>
                    <w:rPr>
                      <w:rFonts w:hint="eastAsia"/>
                      <w:lang w:val="en-US" w:eastAsia="zh-CN"/>
                    </w:rPr>
                    <w:t>05922</w:t>
                  </w:r>
                </w:p>
              </w:tc>
              <w:tc>
                <w:tcPr>
                  <w:tcW w:w="2141" w:type="dxa"/>
                </w:tcPr>
                <w:p>
                  <w:pPr>
                    <w:rPr>
                      <w:rFonts w:hint="default" w:eastAsia="宋体"/>
                      <w:lang w:val="en-US" w:eastAsia="zh-CN"/>
                    </w:rPr>
                  </w:pPr>
                  <w:r>
                    <w:t>202</w:t>
                  </w:r>
                  <w:r>
                    <w:rPr>
                      <w:rFonts w:hint="eastAsia"/>
                      <w:lang w:val="en-US" w:eastAsia="zh-CN"/>
                    </w:rPr>
                    <w:t>2-05-05</w:t>
                  </w:r>
                </w:p>
              </w:tc>
              <w:tc>
                <w:tcPr>
                  <w:tcW w:w="149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4" w:type="dxa"/>
                </w:tcPr>
                <w:p>
                  <w:r>
                    <w:rPr>
                      <w:rFonts w:hint="eastAsia"/>
                    </w:rPr>
                    <w:t>生</w:t>
                  </w:r>
                  <w:r>
                    <w:t>产部</w:t>
                  </w:r>
                  <w:r>
                    <w:rPr>
                      <w:rFonts w:hint="eastAsia"/>
                    </w:rPr>
                    <w:t>工</w:t>
                  </w:r>
                  <w:r>
                    <w:t>人</w:t>
                  </w:r>
                </w:p>
              </w:tc>
              <w:tc>
                <w:tcPr>
                  <w:tcW w:w="1137" w:type="dxa"/>
                </w:tcPr>
                <w:p>
                  <w:pPr>
                    <w:rPr>
                      <w:rFonts w:hint="default" w:eastAsia="宋体"/>
                      <w:lang w:val="en-US" w:eastAsia="zh-CN"/>
                    </w:rPr>
                  </w:pPr>
                  <w:r>
                    <w:rPr>
                      <w:rFonts w:hint="eastAsia"/>
                      <w:lang w:val="en-US" w:eastAsia="zh-CN"/>
                    </w:rPr>
                    <w:t>计锦珍</w:t>
                  </w:r>
                </w:p>
              </w:tc>
              <w:tc>
                <w:tcPr>
                  <w:tcW w:w="2556" w:type="dxa"/>
                </w:tcPr>
                <w:p>
                  <w:pPr>
                    <w:rPr>
                      <w:rFonts w:hint="default" w:eastAsia="宋体"/>
                      <w:lang w:val="en-US" w:eastAsia="zh-CN"/>
                    </w:rPr>
                  </w:pPr>
                  <w:r>
                    <w:rPr>
                      <w:rFonts w:hint="eastAsia"/>
                    </w:rPr>
                    <w:t>闽（202</w:t>
                  </w:r>
                  <w:r>
                    <w:rPr>
                      <w:rFonts w:hint="eastAsia"/>
                      <w:lang w:val="en-US" w:eastAsia="zh-CN"/>
                    </w:rPr>
                    <w:t>1</w:t>
                  </w:r>
                  <w:r>
                    <w:rPr>
                      <w:rFonts w:hint="eastAsia"/>
                    </w:rPr>
                    <w:t>）2102</w:t>
                  </w:r>
                  <w:r>
                    <w:t>-0</w:t>
                  </w:r>
                  <w:r>
                    <w:rPr>
                      <w:rFonts w:hint="eastAsia"/>
                      <w:lang w:val="en-US" w:eastAsia="zh-CN"/>
                    </w:rPr>
                    <w:t>15458</w:t>
                  </w:r>
                </w:p>
              </w:tc>
              <w:tc>
                <w:tcPr>
                  <w:tcW w:w="2141" w:type="dxa"/>
                </w:tcPr>
                <w:p>
                  <w:pPr>
                    <w:rPr>
                      <w:rFonts w:hint="default" w:eastAsia="宋体"/>
                      <w:lang w:val="en-US" w:eastAsia="zh-CN"/>
                    </w:rPr>
                  </w:pPr>
                  <w:r>
                    <w:t>202</w:t>
                  </w:r>
                  <w:r>
                    <w:rPr>
                      <w:rFonts w:hint="eastAsia"/>
                      <w:lang w:val="en-US" w:eastAsia="zh-CN"/>
                    </w:rPr>
                    <w:t>2</w:t>
                  </w:r>
                  <w:r>
                    <w:t>-</w:t>
                  </w:r>
                  <w:r>
                    <w:rPr>
                      <w:rFonts w:hint="eastAsia"/>
                      <w:lang w:val="en-US" w:eastAsia="zh-CN"/>
                    </w:rPr>
                    <w:t>10-20</w:t>
                  </w:r>
                </w:p>
              </w:tc>
              <w:tc>
                <w:tcPr>
                  <w:tcW w:w="149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4" w:type="dxa"/>
                </w:tcPr>
                <w:p>
                  <w:r>
                    <w:rPr>
                      <w:rFonts w:hint="eastAsia"/>
                    </w:rPr>
                    <w:t>生</w:t>
                  </w:r>
                  <w:r>
                    <w:t>产部工人</w:t>
                  </w:r>
                </w:p>
              </w:tc>
              <w:tc>
                <w:tcPr>
                  <w:tcW w:w="1137" w:type="dxa"/>
                </w:tcPr>
                <w:p>
                  <w:pPr>
                    <w:rPr>
                      <w:rFonts w:hint="eastAsia" w:eastAsia="宋体"/>
                      <w:lang w:eastAsia="zh-CN"/>
                    </w:rPr>
                  </w:pPr>
                  <w:r>
                    <w:rPr>
                      <w:rFonts w:hint="eastAsia"/>
                      <w:lang w:val="en-US" w:eastAsia="zh-CN"/>
                    </w:rPr>
                    <w:t>郭先增</w:t>
                  </w:r>
                </w:p>
              </w:tc>
              <w:tc>
                <w:tcPr>
                  <w:tcW w:w="2556" w:type="dxa"/>
                </w:tcPr>
                <w:p>
                  <w:pPr>
                    <w:rPr>
                      <w:rFonts w:hint="default" w:eastAsia="宋体"/>
                      <w:lang w:val="en-US" w:eastAsia="zh-CN"/>
                    </w:rPr>
                  </w:pPr>
                  <w:r>
                    <w:rPr>
                      <w:rFonts w:hint="eastAsia"/>
                    </w:rPr>
                    <w:t>闽（20</w:t>
                  </w:r>
                  <w:r>
                    <w:rPr>
                      <w:rFonts w:hint="eastAsia"/>
                      <w:lang w:val="en-US" w:eastAsia="zh-CN"/>
                    </w:rPr>
                    <w:t>21</w:t>
                  </w:r>
                  <w:r>
                    <w:rPr>
                      <w:rFonts w:hint="eastAsia"/>
                    </w:rPr>
                    <w:t>）</w:t>
                  </w:r>
                  <w:r>
                    <w:rPr>
                      <w:rFonts w:hint="eastAsia"/>
                      <w:lang w:val="en-US" w:eastAsia="zh-CN"/>
                    </w:rPr>
                    <w:t>2102</w:t>
                  </w:r>
                  <w:r>
                    <w:rPr>
                      <w:rFonts w:hint="eastAsia"/>
                    </w:rPr>
                    <w:t>-</w:t>
                  </w:r>
                  <w:r>
                    <w:rPr>
                      <w:rFonts w:hint="eastAsia"/>
                      <w:lang w:val="en-US" w:eastAsia="zh-CN"/>
                    </w:rPr>
                    <w:t>005924</w:t>
                  </w:r>
                </w:p>
              </w:tc>
              <w:tc>
                <w:tcPr>
                  <w:tcW w:w="2141" w:type="dxa"/>
                  <w:vAlign w:val="top"/>
                </w:tcPr>
                <w:p>
                  <w:r>
                    <w:t>202</w:t>
                  </w:r>
                  <w:r>
                    <w:rPr>
                      <w:rFonts w:hint="eastAsia"/>
                      <w:lang w:val="en-US" w:eastAsia="zh-CN"/>
                    </w:rPr>
                    <w:t>2-05-05</w:t>
                  </w:r>
                </w:p>
              </w:tc>
              <w:tc>
                <w:tcPr>
                  <w:tcW w:w="1499" w:type="dxa"/>
                  <w:vAlign w:val="top"/>
                </w:tcPr>
                <w:p>
                  <w:r>
                    <w:rPr>
                      <w:rFonts w:hint="eastAsia"/>
                    </w:rPr>
                    <w:t>有效</w:t>
                  </w:r>
                </w:p>
              </w:tc>
            </w:tr>
          </w:tbl>
          <w:p>
            <w:pPr>
              <w:pStyle w:val="6"/>
              <w:shd w:val="clear"/>
              <w:rPr>
                <w:rFonts w:hint="eastAsia"/>
                <w:highlight w:val="yellow"/>
              </w:rPr>
            </w:pPr>
          </w:p>
          <w:p>
            <w:pPr>
              <w:pStyle w:val="6"/>
              <w:shd w:val="clear"/>
              <w:rPr>
                <w:rFonts w:hint="eastAsia"/>
                <w:highlight w:val="yellow"/>
              </w:rPr>
            </w:pPr>
          </w:p>
          <w:p>
            <w:pPr>
              <w:shd w:val="clear" w:color="auto"/>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rPr>
                <w:highlight w:val="none"/>
              </w:rPr>
            </w:pPr>
            <w:r>
              <w:rPr>
                <w:rFonts w:hint="eastAsia"/>
                <w:highlight w:val="none"/>
              </w:rPr>
              <w:t>食品安全小组包括以下组员/职能：</w:t>
            </w:r>
          </w:p>
          <w:p>
            <w:pPr>
              <w:shd w:val="clea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管理部</w:t>
            </w:r>
            <w:r>
              <w:rPr>
                <w:rFonts w:hint="eastAsia"/>
                <w:highlight w:val="none"/>
              </w:rPr>
              <w:t>人员、 ☑</w:t>
            </w:r>
            <w:r>
              <w:rPr>
                <w:rFonts w:hint="eastAsia"/>
                <w:highlight w:val="none"/>
                <w:lang w:val="en-US" w:eastAsia="zh-CN"/>
              </w:rPr>
              <w:t>生产部</w:t>
            </w:r>
            <w:r>
              <w:rPr>
                <w:rFonts w:hint="eastAsia"/>
                <w:highlight w:val="none"/>
              </w:rPr>
              <w:t>人员、</w:t>
            </w:r>
            <w:r>
              <w:rPr>
                <w:rFonts w:hint="eastAsia"/>
                <w:highlight w:val="none"/>
                <w:lang w:eastAsia="zh-CN"/>
              </w:rPr>
              <w:t>□</w:t>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FE"/>
            </w:r>
            <w:r>
              <w:rPr>
                <w:rFonts w:hint="eastAsia"/>
                <w:highlight w:val="none"/>
                <w:lang w:val="en-US" w:eastAsia="zh-CN"/>
              </w:rPr>
              <w:t xml:space="preserve">质管部人员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r>
              <w:rPr>
                <w:rFonts w:hint="eastAsia"/>
                <w:lang w:eastAsia="zh-CN"/>
              </w:rPr>
              <w:t>——</w:t>
            </w:r>
            <w:r>
              <w:rPr>
                <w:rFonts w:hint="eastAsia"/>
                <w:lang w:val="en-US" w:eastAsia="zh-CN"/>
              </w:rPr>
              <w:t>招投标信息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pPr>
            <w:r>
              <w:rPr>
                <w:rFonts w:hint="eastAsia"/>
              </w:rPr>
              <w:t>运行</w:t>
            </w:r>
          </w:p>
        </w:tc>
        <w:tc>
          <w:tcPr>
            <w:tcW w:w="9282" w:type="dxa"/>
            <w:shd w:val="clear" w:color="auto" w:fill="F4B8FF"/>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52"/>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u w:val="single"/>
              </w:rPr>
            </w:pPr>
            <w:r>
              <w:rPr>
                <w:rFonts w:hint="eastAsia"/>
                <w:highlight w:val="none"/>
              </w:rPr>
              <w:t>组织的《前提方案》时参照法规：</w:t>
            </w:r>
            <w:r>
              <w:rPr>
                <w:rFonts w:hint="eastAsia"/>
                <w:u w:val="single"/>
              </w:rPr>
              <w:t xml:space="preserve"> </w:t>
            </w:r>
            <w:r>
              <w:rPr>
                <w:rFonts w:hint="eastAsia"/>
                <w:sz w:val="21"/>
                <w:szCs w:val="21"/>
                <w:u w:val="single"/>
              </w:rPr>
              <w:t>GB</w:t>
            </w:r>
            <w:r>
              <w:rPr>
                <w:rFonts w:hint="eastAsia"/>
                <w:sz w:val="21"/>
                <w:szCs w:val="21"/>
                <w:u w:val="single"/>
                <w:lang w:val="en-US" w:eastAsia="zh-CN"/>
              </w:rPr>
              <w:t>/</w:t>
            </w:r>
            <w:r>
              <w:rPr>
                <w:rFonts w:hint="eastAsia"/>
                <w:sz w:val="21"/>
                <w:szCs w:val="21"/>
                <w:u w:val="single"/>
              </w:rPr>
              <w:t xml:space="preserve">T 23887-2009 </w:t>
            </w:r>
            <w:r>
              <w:rPr>
                <w:rFonts w:hint="eastAsia"/>
                <w:sz w:val="21"/>
                <w:szCs w:val="21"/>
                <w:u w:val="single"/>
                <w:lang w:eastAsia="zh-CN"/>
              </w:rPr>
              <w:t>《</w:t>
            </w:r>
            <w:r>
              <w:rPr>
                <w:rFonts w:hint="eastAsia"/>
                <w:sz w:val="21"/>
                <w:szCs w:val="21"/>
                <w:u w:val="single"/>
              </w:rPr>
              <w:t>食品包装容器及材料生产企业通用良好操作规范</w:t>
            </w:r>
            <w:r>
              <w:rPr>
                <w:rFonts w:hint="eastAsia"/>
                <w:sz w:val="21"/>
                <w:szCs w:val="21"/>
                <w:u w:val="single"/>
                <w:lang w:eastAsia="zh-CN"/>
              </w:rPr>
              <w:t>》</w:t>
            </w:r>
            <w:r>
              <w:rPr>
                <w:sz w:val="21"/>
                <w:szCs w:val="21"/>
                <w:u w:val="single"/>
              </w:rPr>
              <w:t xml:space="preserve"> </w:t>
            </w:r>
            <w:r>
              <w:rPr>
                <w:rFonts w:hint="eastAsia"/>
                <w:sz w:val="21"/>
                <w:szCs w:val="21"/>
                <w:u w:val="single"/>
                <w:lang w:val="en-US" w:eastAsia="zh-CN"/>
              </w:rPr>
              <w:t xml:space="preserve"> </w:t>
            </w:r>
            <w:r>
              <w:rPr>
                <w:rFonts w:hint="eastAsia"/>
                <w:u w:val="single"/>
              </w:rPr>
              <w:t xml:space="preserve"> </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w:t>
            </w:r>
            <w:r>
              <w:rPr>
                <w:rFonts w:hint="eastAsia"/>
                <w:lang w:eastAsia="zh-CN"/>
              </w:rPr>
              <w:t>，</w:t>
            </w:r>
            <w:r>
              <w:rPr>
                <w:rFonts w:hint="eastAsia"/>
                <w:lang w:val="en-US" w:eastAsia="zh-CN"/>
              </w:rPr>
              <w:t>策划较薄弱，已现场沟通</w:t>
            </w:r>
            <w:r>
              <w:rPr>
                <w:rFonts w:hint="eastAsia"/>
              </w:rPr>
              <w:t xml:space="preserve">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default" w:eastAsia="宋体"/>
                <w:lang w:val="en-US" w:eastAsia="zh-CN"/>
              </w:rPr>
            </w:pPr>
            <w:r>
              <w:rPr>
                <w:rFonts w:hint="eastAsia"/>
              </w:rPr>
              <w:t>组织的产品保质期为</w:t>
            </w:r>
            <w:r>
              <w:rPr>
                <w:rFonts w:hint="eastAsia"/>
                <w:lang w:eastAsia="zh-CN"/>
              </w:rPr>
              <w:t>：</w:t>
            </w:r>
            <w:r>
              <w:rPr>
                <w:rFonts w:hint="eastAsia"/>
                <w:strike w:val="0"/>
                <w:dstrike w:val="0"/>
                <w:u w:val="single"/>
                <w:lang w:val="en-US" w:eastAsia="zh-CN"/>
              </w:rPr>
              <w:t>24</w:t>
            </w:r>
            <w:r>
              <w:rPr>
                <w:rFonts w:hint="eastAsia"/>
                <w:strike w:val="0"/>
                <w:dstrike w:val="0"/>
              </w:rPr>
              <w:t>个月</w:t>
            </w:r>
            <w:r>
              <w:rPr>
                <w:rFonts w:hint="eastAsia"/>
                <w:strike w:val="0"/>
              </w:rPr>
              <w:t>；</w:t>
            </w:r>
            <w:r>
              <w:rPr>
                <w:rFonts w:hint="eastAsia"/>
                <w:strike/>
                <w:dstrike w:val="0"/>
                <w:lang w:eastAsia="zh-CN"/>
              </w:rPr>
              <w:t>——</w:t>
            </w:r>
            <w:r>
              <w:rPr>
                <w:rFonts w:hint="eastAsia"/>
                <w:strike/>
                <w:dstrike w:val="0"/>
                <w:u w:val="single"/>
                <w:lang w:val="en-US" w:eastAsia="zh-CN"/>
              </w:rPr>
              <w:t>小时；</w:t>
            </w:r>
            <w:r>
              <w:rPr>
                <w:rFonts w:hint="eastAsia"/>
                <w:strike w:val="0"/>
                <w:dstrike w:val="0"/>
                <w:u w:val="single"/>
                <w:lang w:val="en-US" w:eastAsia="zh-CN"/>
              </w:rPr>
              <w:t xml:space="preserve"> </w:t>
            </w:r>
          </w:p>
          <w:p>
            <w:pPr>
              <w:shd w:val="clear" w:color="auto"/>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lang w:val="en-US" w:eastAsia="zh-CN"/>
              </w:rPr>
              <w:t xml:space="preserve">21 </w:t>
            </w:r>
            <w:r>
              <w:rPr>
                <w:rFonts w:hint="eastAsia"/>
              </w:rPr>
              <w:t>日，进行了</w:t>
            </w:r>
            <w:r>
              <w:t>可追溯性体系的有效性</w:t>
            </w:r>
            <w:r>
              <w:rPr>
                <w:rFonts w:hint="eastAsia"/>
              </w:rPr>
              <w:t>的演练</w:t>
            </w:r>
            <w:r>
              <w:t>。</w:t>
            </w: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A8"/>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A8"/>
            </w:r>
            <w:r>
              <w:rPr>
                <w:rFonts w:hint="eastAsia"/>
              </w:rPr>
              <w:t>食品中毒</w:t>
            </w:r>
          </w:p>
          <w:p>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FE"/>
            </w:r>
            <w:r>
              <w:rPr>
                <w:rFonts w:hint="eastAsia"/>
              </w:rPr>
              <w:t>有害物</w:t>
            </w:r>
            <w:r>
              <w:t>泄露</w:t>
            </w:r>
            <w:r>
              <w:rPr>
                <w:rFonts w:hint="eastAsia"/>
              </w:rPr>
              <w:t xml:space="preserve">  </w:t>
            </w:r>
            <w:r>
              <w:rPr>
                <w:rFonts w:hint="eastAsia"/>
              </w:rPr>
              <w:sym w:font="Wingdings" w:char="00FE"/>
            </w:r>
            <w:r>
              <w:rPr>
                <w:rFonts w:hint="eastAsia"/>
              </w:rPr>
              <w:t>其他—食品供应链的突变</w:t>
            </w:r>
          </w:p>
          <w:p>
            <w:pPr>
              <w:shd w:val="clear"/>
            </w:pPr>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 xml:space="preserve">9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应急演练</w:t>
            </w:r>
            <w:r>
              <w:rPr>
                <w:rFonts w:hint="eastAsia"/>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rPr>
                <w:rFonts w:hint="eastAsia"/>
              </w:rPr>
            </w:pP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rPr>
                <w:b/>
                <w:bCs/>
              </w:rPr>
            </w:pPr>
            <w:r>
              <w:rPr>
                <w:rFonts w:hint="eastAsia"/>
                <w:b/>
                <w:bCs/>
              </w:rPr>
              <w:t>原材料产品描述</w:t>
            </w:r>
          </w:p>
          <w:p>
            <w:pPr>
              <w:shd w:val="clear"/>
            </w:pP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shd w:val="clear"/>
              <w:rPr>
                <w:color w:val="020FBE"/>
                <w:lang w:val="en-GB"/>
              </w:rPr>
            </w:pPr>
            <w:r>
              <w:rPr>
                <w:rFonts w:hint="eastAsia"/>
                <w:color w:val="020FBE"/>
                <w:lang w:val="en-US" w:eastAsia="zh-CN"/>
              </w:rPr>
              <w:t>PET/PP/PS片材</w:t>
            </w:r>
          </w:p>
          <w:p>
            <w:pPr>
              <w:numPr>
                <w:ilvl w:val="0"/>
                <w:numId w:val="5"/>
              </w:numPr>
              <w:shd w:val="clear"/>
              <w:rPr>
                <w:color w:val="020FBE"/>
                <w:lang w:val="en-GB"/>
              </w:rPr>
            </w:pPr>
            <w:r>
              <w:rPr>
                <w:rFonts w:hint="eastAsia"/>
                <w:color w:val="020FBE"/>
                <w:lang w:val="en-US" w:eastAsia="zh-CN"/>
              </w:rPr>
              <w:t>生产加工用水</w:t>
            </w:r>
          </w:p>
          <w:p>
            <w:pPr>
              <w:numPr>
                <w:ilvl w:val="0"/>
                <w:numId w:val="5"/>
              </w:numPr>
              <w:shd w:val="clear"/>
              <w:rPr>
                <w:color w:val="020FBE"/>
                <w:lang w:val="en-GB"/>
              </w:rPr>
            </w:pPr>
            <w:r>
              <w:rPr>
                <w:rFonts w:hint="eastAsia"/>
                <w:color w:val="020FBE"/>
                <w:lang w:val="en-US" w:eastAsia="zh-CN"/>
              </w:rPr>
              <w:t>PE塑料袋</w:t>
            </w:r>
          </w:p>
          <w:p>
            <w:pPr>
              <w:numPr>
                <w:ilvl w:val="0"/>
                <w:numId w:val="5"/>
              </w:numPr>
              <w:shd w:val="clear"/>
              <w:rPr>
                <w:color w:val="020FBE"/>
                <w:lang w:val="en-GB"/>
              </w:rPr>
            </w:pPr>
            <w:r>
              <w:rPr>
                <w:rFonts w:hint="eastAsia"/>
                <w:color w:val="020FBE"/>
                <w:lang w:val="en-US" w:eastAsia="zh-CN"/>
              </w:rPr>
              <w:t>外纸箱等</w:t>
            </w:r>
          </w:p>
          <w:p>
            <w:pPr>
              <w:numPr>
                <w:ilvl w:val="0"/>
                <w:numId w:val="5"/>
              </w:num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pPr>
            <w:r>
              <w:rPr>
                <w:rFonts w:hint="eastAsia"/>
              </w:rPr>
              <w:t>终产品描述</w:t>
            </w:r>
          </w:p>
          <w:p>
            <w:pPr>
              <w:shd w:val="clea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shd w:val="clear"/>
              <w:rPr>
                <w:rFonts w:hint="eastAsia"/>
                <w:color w:val="020FBE"/>
                <w:lang w:val="en-US" w:eastAsia="zh-CN"/>
              </w:rPr>
            </w:pPr>
            <w:r>
              <w:rPr>
                <w:rFonts w:hint="eastAsia"/>
                <w:color w:val="020FBE"/>
                <w:lang w:val="en-US" w:eastAsia="zh-CN"/>
              </w:rPr>
              <w:t>塑料餐具（PS材质/PPET材质/PP材质的盖子、杯子、碗、碟子）</w:t>
            </w:r>
          </w:p>
          <w:p>
            <w:pPr>
              <w:numPr>
                <w:ilvl w:val="0"/>
                <w:numId w:val="5"/>
              </w:numPr>
              <w:shd w:val="clear"/>
              <w:rPr>
                <w:u w:val="none"/>
              </w:rPr>
            </w:pPr>
          </w:p>
          <w:p>
            <w:pPr>
              <w:pStyle w:val="14"/>
              <w:shd w:val="clear"/>
            </w:pPr>
          </w:p>
          <w:p>
            <w:pPr>
              <w:pStyle w:val="14"/>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与杯子</w:t>
            </w:r>
            <w:r>
              <w:rPr>
                <w:rFonts w:hint="eastAsia"/>
                <w:u w:val="single"/>
                <w:lang w:val="en-US" w:eastAsia="zh-CN"/>
              </w:rPr>
              <w:t>/碗</w:t>
            </w:r>
            <w:r>
              <w:rPr>
                <w:rFonts w:hint="eastAsia"/>
                <w:u w:val="single"/>
              </w:rPr>
              <w:t>配套使用</w:t>
            </w:r>
            <w:r>
              <w:rPr>
                <w:rFonts w:hint="eastAsia"/>
                <w:u w:val="single"/>
                <w:lang w:val="en-US" w:eastAsia="zh-CN"/>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ascii="Wingdings" w:hAnsi="Wingdings"/>
              </w:rPr>
              <w:t>¨</w:t>
            </w:r>
            <w:r>
              <w:rPr>
                <w:rFonts w:hint="eastAsia"/>
              </w:rPr>
              <w:t xml:space="preserve">  </w:t>
            </w:r>
            <w:r>
              <w:rPr>
                <w:rFonts w:hint="eastAsia"/>
              </w:rPr>
              <w:sym w:font="Wingdings" w:char="00A8"/>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6"/>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原材料、辅料、加工助剂、包装材料、公用工程和和中间产品投入点；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6"/>
              </w:numPr>
              <w:shd w:val="clear"/>
              <w:autoSpaceDE w:val="0"/>
              <w:autoSpaceDN w:val="0"/>
              <w:adjustRightInd w:val="0"/>
              <w:rPr>
                <w:b/>
              </w:rPr>
            </w:pPr>
            <w:r>
              <w:rPr>
                <w:rFonts w:hint="eastAsia"/>
              </w:rPr>
              <w:t>工厂位置图</w:t>
            </w:r>
          </w:p>
          <w:p>
            <w:pPr>
              <w:widowControl/>
              <w:numPr>
                <w:ilvl w:val="0"/>
                <w:numId w:val="6"/>
              </w:numPr>
              <w:shd w:val="clear"/>
              <w:autoSpaceDE w:val="0"/>
              <w:autoSpaceDN w:val="0"/>
              <w:adjustRightInd w:val="0"/>
            </w:pPr>
            <w:r>
              <w:rPr>
                <w:rFonts w:hint="eastAsia"/>
              </w:rPr>
              <w:t>厂区平面图</w:t>
            </w:r>
          </w:p>
          <w:p>
            <w:pPr>
              <w:widowControl/>
              <w:numPr>
                <w:ilvl w:val="0"/>
                <w:numId w:val="6"/>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shd w:val="clear"/>
              <w:autoSpaceDE w:val="0"/>
              <w:autoSpaceDN w:val="0"/>
              <w:adjustRightInd w:val="0"/>
              <w:rPr>
                <w:b/>
              </w:rPr>
            </w:pPr>
            <w:r>
              <w:rPr>
                <w:rFonts w:hint="eastAsia"/>
              </w:rPr>
              <w:t>人流、物流、气流图</w:t>
            </w:r>
          </w:p>
          <w:p>
            <w:pPr>
              <w:widowControl/>
              <w:numPr>
                <w:ilvl w:val="0"/>
                <w:numId w:val="6"/>
              </w:numPr>
              <w:shd w:val="clear"/>
              <w:autoSpaceDE w:val="0"/>
              <w:autoSpaceDN w:val="0"/>
              <w:adjustRightInd w:val="0"/>
              <w:rPr>
                <w:b/>
              </w:rPr>
            </w:pPr>
            <w:r>
              <w:rPr>
                <w:rFonts w:hint="eastAsia"/>
              </w:rPr>
              <w:t>供排水网络图</w:t>
            </w:r>
          </w:p>
          <w:p>
            <w:pPr>
              <w:widowControl/>
              <w:numPr>
                <w:ilvl w:val="0"/>
                <w:numId w:val="6"/>
              </w:numPr>
              <w:shd w:val="clear"/>
              <w:autoSpaceDE w:val="0"/>
              <w:autoSpaceDN w:val="0"/>
              <w:adjustRightInd w:val="0"/>
              <w:rPr>
                <w:b/>
              </w:rPr>
            </w:pPr>
            <w:r>
              <w:rPr>
                <w:rFonts w:hint="eastAsia"/>
              </w:rPr>
              <w:t>防虫害分布图</w:t>
            </w:r>
          </w:p>
          <w:p>
            <w:pPr>
              <w:widowControl/>
              <w:numPr>
                <w:ilvl w:val="0"/>
                <w:numId w:val="6"/>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r>
              <w:rPr>
                <w:rFonts w:hint="eastAsia"/>
                <w:lang w:val="en-US" w:eastAsia="zh-CN"/>
              </w:rPr>
              <w:t>经沟通了解审核周期内未发生变化。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autoSpaceDE w:val="0"/>
              <w:autoSpaceDN w:val="0"/>
              <w:adjustRightInd w:val="0"/>
              <w:rPr>
                <w:b/>
              </w:rPr>
            </w:pPr>
            <w:r>
              <w:rPr>
                <w:rFonts w:hint="eastAsia"/>
                <w:b/>
              </w:rPr>
              <w:t>危害评估</w:t>
            </w:r>
          </w:p>
          <w:p>
            <w:pPr>
              <w:shd w:val="clear" w:color="auto"/>
              <w:rPr>
                <w:rFonts w:hint="default" w:eastAsia="宋体"/>
                <w:lang w:val="en-US" w:eastAsia="zh-CN"/>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r>
              <w:rPr>
                <w:rFonts w:hint="eastAsia"/>
                <w:lang w:val="en-US" w:eastAsia="zh-CN"/>
              </w:rPr>
              <w:t>经沟通了解审核周期内未发生变化。</w:t>
            </w:r>
          </w:p>
          <w:p>
            <w:pPr>
              <w:shd w:val="clear"/>
              <w:rPr>
                <w:lang w:val="en-GB"/>
              </w:rPr>
            </w:pPr>
          </w:p>
          <w:p>
            <w:pPr>
              <w:shd w:val="clear"/>
              <w:tabs>
                <w:tab w:val="right" w:pos="3119"/>
              </w:tabs>
              <w:rPr>
                <w:rFonts w:hint="eastAsia"/>
                <w:lang w:val="en-GB"/>
              </w:rPr>
            </w:pPr>
          </w:p>
          <w:p>
            <w:pPr>
              <w:shd w:val="clear"/>
              <w:tabs>
                <w:tab w:val="right" w:pos="3119"/>
              </w:tabs>
              <w:rPr>
                <w:lang w:val="en-GB"/>
              </w:rPr>
            </w:pPr>
            <w:r>
              <w:rPr>
                <w:rFonts w:hint="eastAsia"/>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化学品（清洁剂、消毒剂） </w:t>
            </w:r>
            <w:r>
              <w:t xml:space="preserve"> </w:t>
            </w:r>
            <w:r>
              <w:rPr>
                <w:rFonts w:hint="eastAsia"/>
              </w:rPr>
              <w:sym w:font="Wingdings" w:char="00A8"/>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其他（抗生素）  </w:t>
            </w:r>
          </w:p>
          <w:p>
            <w:r>
              <w:rPr>
                <w:rFonts w:hint="eastAsia"/>
              </w:rPr>
              <w:t>生物危害：</w:t>
            </w:r>
            <w:r>
              <w:rPr>
                <w:rFonts w:hint="eastAsia"/>
              </w:rPr>
              <w:sym w:font="Wingdings" w:char="00FE"/>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w:t>
            </w:r>
          </w:p>
          <w:p>
            <w:pPr>
              <w:shd w:val="clear" w:color="auto"/>
            </w:pPr>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其他异物（原辅料包装袋、毛发</w:t>
            </w:r>
            <w:r>
              <w:rPr>
                <w:rFonts w:hint="eastAsia"/>
                <w:lang w:eastAsia="zh-CN"/>
              </w:rPr>
              <w:t>、</w:t>
            </w:r>
            <w:r>
              <w:rPr>
                <w:rFonts w:hint="eastAsia"/>
                <w:lang w:val="en-US" w:eastAsia="zh-CN"/>
              </w:rPr>
              <w:t>塑料绳子等</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rFonts w:hint="eastAsia"/>
              </w:rPr>
            </w:pPr>
            <w:r>
              <w:rPr>
                <w:rFonts w:hint="eastAsia"/>
              </w:rPr>
              <w:t>最终产品危害分析：</w:t>
            </w:r>
          </w:p>
          <w:tbl>
            <w:tblPr>
              <w:tblStyle w:val="10"/>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2844"/>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66" w:type="dxa"/>
                  <w:shd w:val="clear" w:color="auto" w:fill="auto"/>
                  <w:vAlign w:val="top"/>
                </w:tcPr>
                <w:p>
                  <w:pPr>
                    <w:shd w:val="clear"/>
                    <w:jc w:val="center"/>
                    <w:rPr>
                      <w:rFonts w:hint="eastAsia" w:ascii="Times New Roman" w:hAnsi="Times New Roman" w:eastAsia="宋体" w:cs="Times New Roman"/>
                      <w:bCs/>
                      <w:kern w:val="2"/>
                      <w:sz w:val="21"/>
                      <w:szCs w:val="21"/>
                      <w:lang w:val="en-GB" w:eastAsia="zh-CN" w:bidi="ar-SA"/>
                    </w:rPr>
                  </w:pPr>
                  <w:r>
                    <w:rPr>
                      <w:rFonts w:hint="eastAsia"/>
                      <w:bCs/>
                      <w:sz w:val="21"/>
                      <w:szCs w:val="21"/>
                    </w:rPr>
                    <w:t>主要原料名称</w:t>
                  </w:r>
                </w:p>
              </w:tc>
              <w:tc>
                <w:tcPr>
                  <w:tcW w:w="2844" w:type="dxa"/>
                  <w:shd w:val="clear" w:color="auto" w:fill="auto"/>
                  <w:vAlign w:val="top"/>
                </w:tcPr>
                <w:p>
                  <w:pPr>
                    <w:shd w:val="clear"/>
                    <w:jc w:val="center"/>
                    <w:rPr>
                      <w:rFonts w:hint="eastAsia" w:ascii="Times New Roman" w:hAnsi="Times New Roman" w:eastAsia="宋体" w:cs="Times New Roman"/>
                      <w:bCs/>
                      <w:kern w:val="2"/>
                      <w:sz w:val="21"/>
                      <w:szCs w:val="21"/>
                      <w:lang w:val="en-GB" w:eastAsia="zh-CN" w:bidi="ar-SA"/>
                    </w:rPr>
                  </w:pPr>
                  <w:r>
                    <w:rPr>
                      <w:rFonts w:hint="eastAsia"/>
                      <w:bCs/>
                      <w:sz w:val="21"/>
                      <w:szCs w:val="21"/>
                    </w:rPr>
                    <w:t>潜在危害</w:t>
                  </w:r>
                </w:p>
              </w:tc>
              <w:tc>
                <w:tcPr>
                  <w:tcW w:w="3665" w:type="dxa"/>
                  <w:shd w:val="clear" w:color="auto" w:fill="auto"/>
                </w:tcPr>
                <w:p>
                  <w:pPr>
                    <w:shd w:val="clea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6"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bCs/>
                      <w:lang w:val="en-GB" w:eastAsia="zh-CN"/>
                    </w:rPr>
                    <w:t>塑料餐具（</w:t>
                  </w:r>
                  <w:r>
                    <w:rPr>
                      <w:rFonts w:hint="eastAsia"/>
                      <w:b/>
                      <w:u w:val="single"/>
                      <w:lang w:val="en-US" w:eastAsia="zh-CN"/>
                    </w:rPr>
                    <w:t>PS材质/PPET材质/PP材质的盖子、杯子、碗、碟子</w:t>
                  </w:r>
                  <w:r>
                    <w:rPr>
                      <w:rFonts w:hint="eastAsia"/>
                      <w:bCs/>
                      <w:lang w:val="en-GB" w:eastAsia="zh-CN"/>
                    </w:rPr>
                    <w:t>）</w:t>
                  </w:r>
                </w:p>
              </w:tc>
              <w:tc>
                <w:tcPr>
                  <w:tcW w:w="2844"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6" w:type="dxa"/>
                  <w:vAlign w:val="top"/>
                </w:tcPr>
                <w:p>
                  <w:pPr>
                    <w:shd w:val="clear"/>
                    <w:autoSpaceDE w:val="0"/>
                    <w:autoSpaceDN w:val="0"/>
                    <w:adjustRightInd w:val="0"/>
                    <w:jc w:val="left"/>
                    <w:rPr>
                      <w:rFonts w:cs="Times New Roman" w:asciiTheme="minorEastAsia" w:hAnsiTheme="minorEastAsia" w:eastAsiaTheme="minorEastAsia"/>
                      <w:kern w:val="2"/>
                      <w:sz w:val="21"/>
                      <w:szCs w:val="21"/>
                      <w:lang w:val="en-GB" w:eastAsia="zh-CN" w:bidi="ar-SA"/>
                    </w:rPr>
                  </w:pPr>
                </w:p>
              </w:tc>
              <w:tc>
                <w:tcPr>
                  <w:tcW w:w="2844" w:type="dxa"/>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shd w:val="clear"/>
                    <w:rPr>
                      <w:rFonts w:ascii="Times New Roman" w:hAnsi="Times New Roman" w:eastAsia="宋体" w:cs="Times New Roman"/>
                      <w:bCs/>
                      <w:kern w:val="2"/>
                      <w:sz w:val="21"/>
                      <w:szCs w:val="21"/>
                      <w:lang w:val="en-GB" w:eastAsia="zh-CN" w:bidi="ar-SA"/>
                    </w:rPr>
                  </w:pPr>
                  <w:r>
                    <w:rPr>
                      <w:rFonts w:hint="eastAsia"/>
                      <w:sz w:val="21"/>
                      <w:szCs w:val="21"/>
                    </w:rPr>
                    <w:sym w:font="Wingdings" w:char="00A8"/>
                  </w:r>
                  <w:r>
                    <w:rPr>
                      <w:rFonts w:hint="eastAsia"/>
                      <w:sz w:val="21"/>
                      <w:szCs w:val="21"/>
                    </w:rPr>
                    <w:t>溶剂残留</w:t>
                  </w:r>
                </w:p>
              </w:tc>
              <w:tc>
                <w:tcPr>
                  <w:tcW w:w="3665" w:type="dxa"/>
                </w:tcPr>
                <w:p>
                  <w:pPr>
                    <w:shd w:val="clear"/>
                    <w:rPr>
                      <w:bCs/>
                    </w:rPr>
                  </w:pPr>
                  <w:r>
                    <w:rPr>
                      <w:rFonts w:hint="eastAsia"/>
                      <w:bCs/>
                    </w:rPr>
                    <w:sym w:font="Wingdings" w:char="00A8"/>
                  </w:r>
                  <w:r>
                    <w:rPr>
                      <w:bCs/>
                    </w:rPr>
                    <w:t>OPRP</w:t>
                  </w:r>
                </w:p>
                <w:p>
                  <w:pPr>
                    <w:shd w:val="clear"/>
                    <w:rPr>
                      <w:bCs/>
                    </w:rPr>
                  </w:pPr>
                  <w:r>
                    <w:rPr>
                      <w:rFonts w:hint="eastAsia"/>
                    </w:rPr>
                    <w:sym w:font="Wingdings" w:char="00A8"/>
                  </w:r>
                  <w:r>
                    <w:rPr>
                      <w:bCs/>
                    </w:rPr>
                    <w:t>CCPs</w:t>
                  </w:r>
                </w:p>
                <w:p>
                  <w:pPr>
                    <w:shd w:val="clear"/>
                    <w:rPr>
                      <w:bCs/>
                    </w:rPr>
                  </w:pPr>
                  <w:r>
                    <w:rPr>
                      <w:rFonts w:hint="eastAsia"/>
                    </w:rPr>
                    <w:sym w:font="Wingdings" w:char="00A8"/>
                  </w:r>
                  <w:r>
                    <w:rPr>
                      <w:rFonts w:hint="eastAsia"/>
                      <w:bCs/>
                    </w:rPr>
                    <w:t>作业指导书&amp;</w:t>
                  </w:r>
                  <w:r>
                    <w:rPr>
                      <w:bCs/>
                    </w:rPr>
                    <w:t>SSOP</w:t>
                  </w:r>
                </w:p>
                <w:p>
                  <w:pPr>
                    <w:shd w:val="clear"/>
                    <w:rPr>
                      <w:bCs/>
                    </w:rPr>
                  </w:pPr>
                  <w:r>
                    <w:rPr>
                      <w:rFonts w:hint="eastAsia"/>
                      <w:bCs/>
                    </w:rPr>
                    <w:sym w:font="Wingdings" w:char="00A8"/>
                  </w:r>
                  <w:r>
                    <w:rPr>
                      <w:bCs/>
                    </w:rPr>
                    <w:t>OPRP</w:t>
                  </w:r>
                  <w:r>
                    <w:rPr>
                      <w:rFonts w:hint="eastAsia"/>
                      <w:bCs/>
                    </w:rPr>
                    <w:t xml:space="preserve"> &amp;</w:t>
                  </w:r>
                  <w:r>
                    <w:rPr>
                      <w:bCs/>
                    </w:rPr>
                    <w:t>CCPs</w:t>
                  </w:r>
                </w:p>
              </w:tc>
            </w:tr>
          </w:tbl>
          <w:p>
            <w:pPr>
              <w:shd w:val="clear"/>
              <w:tabs>
                <w:tab w:val="right" w:pos="3119"/>
              </w:tabs>
              <w:rPr>
                <w:lang w:val="en-GB"/>
              </w:rPr>
            </w:pPr>
          </w:p>
          <w:p>
            <w:pPr>
              <w:shd w:val="clea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shd w:val="clear"/>
                    <w:jc w:val="center"/>
                    <w:rPr>
                      <w:bCs/>
                      <w:sz w:val="21"/>
                      <w:szCs w:val="21"/>
                    </w:rPr>
                  </w:pPr>
                  <w:r>
                    <w:rPr>
                      <w:rFonts w:hint="eastAsia"/>
                      <w:bCs/>
                      <w:sz w:val="21"/>
                      <w:szCs w:val="21"/>
                    </w:rPr>
                    <w:t>主要原料名称</w:t>
                  </w:r>
                </w:p>
              </w:tc>
              <w:tc>
                <w:tcPr>
                  <w:tcW w:w="2905" w:type="dxa"/>
                  <w:shd w:val="clear" w:color="auto" w:fill="auto"/>
                </w:tcPr>
                <w:p>
                  <w:pPr>
                    <w:shd w:val="clear"/>
                    <w:jc w:val="center"/>
                    <w:rPr>
                      <w:bCs/>
                      <w:sz w:val="21"/>
                      <w:szCs w:val="21"/>
                    </w:rPr>
                  </w:pPr>
                  <w:r>
                    <w:rPr>
                      <w:rFonts w:hint="eastAsia"/>
                      <w:bCs/>
                      <w:sz w:val="21"/>
                      <w:szCs w:val="21"/>
                    </w:rPr>
                    <w:t>潜在危害</w:t>
                  </w:r>
                </w:p>
              </w:tc>
              <w:tc>
                <w:tcPr>
                  <w:tcW w:w="3476" w:type="dxa"/>
                  <w:shd w:val="clear" w:color="auto" w:fill="auto"/>
                </w:tcPr>
                <w:p>
                  <w:pPr>
                    <w:shd w:val="clea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u w:val="single"/>
                    </w:rPr>
                    <w:t>PET</w:t>
                  </w:r>
                  <w:r>
                    <w:rPr>
                      <w:rFonts w:hint="eastAsia"/>
                      <w:u w:val="single"/>
                      <w:lang w:val="en-US" w:eastAsia="zh-CN"/>
                    </w:rPr>
                    <w:t>片材、</w:t>
                  </w:r>
                  <w:r>
                    <w:rPr>
                      <w:rFonts w:hint="eastAsia"/>
                      <w:u w:val="single"/>
                    </w:rPr>
                    <w:t xml:space="preserve"> PP</w:t>
                  </w:r>
                  <w:r>
                    <w:rPr>
                      <w:rFonts w:hint="eastAsia"/>
                      <w:u w:val="single"/>
                      <w:lang w:val="en-US" w:eastAsia="zh-CN"/>
                    </w:rPr>
                    <w:t>片材、PS片材、</w:t>
                  </w:r>
                  <w:r>
                    <w:rPr>
                      <w:rFonts w:hint="eastAsia"/>
                      <w:u w:val="single"/>
                    </w:rPr>
                    <w:t xml:space="preserve"> </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bCs/>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vAlign w:val="top"/>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u w:val="single"/>
                    </w:rPr>
                    <w:t>PE袋</w:t>
                  </w:r>
                  <w:r>
                    <w:rPr>
                      <w:rFonts w:hint="eastAsia"/>
                      <w:u w:val="single"/>
                      <w:lang w:eastAsia="zh-CN"/>
                    </w:rPr>
                    <w:t>、纸箱</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hd w:val="clear"/>
                    <w:spacing w:before="156" w:beforeLines="50" w:line="280" w:lineRule="exact"/>
                    <w:rPr>
                      <w:rFonts w:hint="default" w:ascii="宋体" w:hAnsi="宋体" w:eastAsia="宋体"/>
                      <w:sz w:val="21"/>
                      <w:szCs w:val="21"/>
                      <w:lang w:val="en-US" w:eastAsia="zh-CN"/>
                    </w:rPr>
                  </w:pPr>
                </w:p>
              </w:tc>
              <w:tc>
                <w:tcPr>
                  <w:tcW w:w="2905" w:type="dxa"/>
                  <w:shd w:val="clear" w:color="auto" w:fill="auto"/>
                  <w:vAlign w:val="bottom"/>
                </w:tcPr>
                <w:p>
                  <w:pPr>
                    <w:shd w:val="clea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shd w:val="clear"/>
                    <w:autoSpaceDE w:val="0"/>
                    <w:autoSpaceDN w:val="0"/>
                    <w:adjustRightInd w:val="0"/>
                    <w:jc w:val="left"/>
                    <w:rPr>
                      <w:sz w:val="21"/>
                      <w:szCs w:val="21"/>
                    </w:rPr>
                  </w:pPr>
                  <w:r>
                    <w:rPr>
                      <w:rFonts w:hint="eastAsia"/>
                      <w:sz w:val="21"/>
                      <w:szCs w:val="21"/>
                    </w:rPr>
                    <w:sym w:font="Wingdings" w:char="00A8"/>
                  </w:r>
                  <w:r>
                    <w:rPr>
                      <w:rFonts w:hint="eastAsia"/>
                      <w:sz w:val="21"/>
                      <w:szCs w:val="21"/>
                    </w:rPr>
                    <w:t>向供方索取检测报告</w:t>
                  </w:r>
                </w:p>
                <w:p>
                  <w:pPr>
                    <w:shd w:val="clear"/>
                    <w:autoSpaceDE w:val="0"/>
                    <w:autoSpaceDN w:val="0"/>
                    <w:adjustRightInd w:val="0"/>
                    <w:jc w:val="left"/>
                    <w:rPr>
                      <w:sz w:val="21"/>
                      <w:szCs w:val="21"/>
                    </w:rPr>
                  </w:pPr>
                  <w:r>
                    <w:rPr>
                      <w:rFonts w:hint="eastAsia"/>
                      <w:sz w:val="21"/>
                      <w:szCs w:val="21"/>
                    </w:rPr>
                    <w:sym w:font="Wingdings" w:char="00A8"/>
                  </w:r>
                  <w:r>
                    <w:rPr>
                      <w:rFonts w:hint="eastAsia"/>
                      <w:sz w:val="21"/>
                      <w:szCs w:val="21"/>
                    </w:rPr>
                    <w:t>企业自行检测</w:t>
                  </w:r>
                </w:p>
                <w:p>
                  <w:pPr>
                    <w:shd w:val="clear"/>
                    <w:autoSpaceDE w:val="0"/>
                    <w:autoSpaceDN w:val="0"/>
                    <w:adjustRightInd w:val="0"/>
                    <w:jc w:val="left"/>
                    <w:rPr>
                      <w:rFonts w:hint="eastAsia"/>
                      <w:sz w:val="21"/>
                      <w:szCs w:val="21"/>
                    </w:rPr>
                  </w:pPr>
                  <w:r>
                    <w:rPr>
                      <w:rFonts w:hint="eastAsia"/>
                      <w:sz w:val="21"/>
                      <w:szCs w:val="21"/>
                    </w:rPr>
                    <w:sym w:font="Wingdings" w:char="00A8"/>
                  </w:r>
                  <w:r>
                    <w:rPr>
                      <w:rFonts w:hint="eastAsia"/>
                      <w:sz w:val="21"/>
                      <w:szCs w:val="21"/>
                    </w:rPr>
                    <w:t>第三方检测报告</w:t>
                  </w:r>
                </w:p>
                <w:p>
                  <w:pPr>
                    <w:pStyle w:val="6"/>
                    <w:shd w:val="clear"/>
                    <w:rPr>
                      <w:rFonts w:hint="default" w:eastAsia="宋体"/>
                      <w:sz w:val="21"/>
                      <w:szCs w:val="21"/>
                      <w:lang w:val="en-US" w:eastAsia="zh-CN"/>
                    </w:rPr>
                  </w:pPr>
                  <w:r>
                    <w:rPr>
                      <w:rFonts w:hint="eastAsia"/>
                      <w:bCs/>
                      <w:sz w:val="21"/>
                      <w:szCs w:val="21"/>
                    </w:rPr>
                    <w:sym w:font="Wingdings" w:char="00A8"/>
                  </w:r>
                  <w:r>
                    <w:rPr>
                      <w:rFonts w:hint="eastAsia"/>
                      <w:bCs/>
                      <w:sz w:val="21"/>
                      <w:szCs w:val="21"/>
                      <w:lang w:val="en-US" w:eastAsia="zh-CN"/>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shd w:val="clear"/>
                    <w:autoSpaceDE w:val="0"/>
                    <w:autoSpaceDN w:val="0"/>
                    <w:adjustRightInd w:val="0"/>
                    <w:jc w:val="left"/>
                    <w:rPr>
                      <w:rFonts w:asciiTheme="minorEastAsia" w:hAnsiTheme="minorEastAsia" w:eastAsiaTheme="minorEastAsia"/>
                      <w:sz w:val="21"/>
                      <w:szCs w:val="21"/>
                    </w:rPr>
                  </w:pPr>
                </w:p>
              </w:tc>
              <w:tc>
                <w:tcPr>
                  <w:tcW w:w="2905" w:type="dxa"/>
                  <w:shd w:val="clear" w:color="auto" w:fill="auto"/>
                  <w:vAlign w:val="bottom"/>
                </w:tcPr>
                <w:p>
                  <w:pPr>
                    <w:shd w:val="clea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shd w:val="clea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shd w:val="clea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shd w:val="clear"/>
                    <w:rPr>
                      <w:bCs/>
                      <w:sz w:val="21"/>
                      <w:szCs w:val="21"/>
                    </w:rPr>
                  </w:pPr>
                  <w:r>
                    <w:rPr>
                      <w:rFonts w:hint="eastAsia"/>
                      <w:sz w:val="21"/>
                      <w:szCs w:val="21"/>
                    </w:rPr>
                    <w:sym w:font="Wingdings" w:char="00A8"/>
                  </w:r>
                  <w:r>
                    <w:rPr>
                      <w:rFonts w:hint="eastAsia"/>
                      <w:sz w:val="21"/>
                      <w:szCs w:val="21"/>
                    </w:rPr>
                    <w:t>溶剂残留</w:t>
                  </w:r>
                </w:p>
              </w:tc>
              <w:tc>
                <w:tcPr>
                  <w:tcW w:w="3476" w:type="dxa"/>
                  <w:shd w:val="clear" w:color="auto" w:fill="auto"/>
                </w:tcPr>
                <w:p>
                  <w:pPr>
                    <w:shd w:val="clear"/>
                    <w:autoSpaceDE w:val="0"/>
                    <w:autoSpaceDN w:val="0"/>
                    <w:adjustRightInd w:val="0"/>
                    <w:jc w:val="left"/>
                    <w:rPr>
                      <w:bCs/>
                      <w:sz w:val="21"/>
                      <w:szCs w:val="21"/>
                    </w:rPr>
                  </w:pPr>
                  <w:r>
                    <w:rPr>
                      <w:rFonts w:hint="eastAsia"/>
                      <w:sz w:val="21"/>
                      <w:szCs w:val="21"/>
                    </w:rPr>
                    <w:sym w:font="Wingdings" w:char="00A8"/>
                  </w:r>
                  <w:r>
                    <w:rPr>
                      <w:rFonts w:hint="eastAsia"/>
                      <w:bCs/>
                      <w:sz w:val="21"/>
                      <w:szCs w:val="21"/>
                    </w:rPr>
                    <w:t>向供方索取检测报告</w:t>
                  </w:r>
                </w:p>
                <w:p>
                  <w:pPr>
                    <w:shd w:val="clea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shd w:val="clear"/>
                    <w:autoSpaceDE w:val="0"/>
                    <w:autoSpaceDN w:val="0"/>
                    <w:adjustRightInd w:val="0"/>
                    <w:jc w:val="left"/>
                    <w:rPr>
                      <w:sz w:val="21"/>
                      <w:szCs w:val="21"/>
                    </w:rPr>
                  </w:pPr>
                  <w:r>
                    <w:rPr>
                      <w:rFonts w:hint="eastAsia"/>
                      <w:sz w:val="21"/>
                      <w:szCs w:val="21"/>
                    </w:rPr>
                    <w:sym w:font="Wingdings" w:char="00A8"/>
                  </w:r>
                  <w:r>
                    <w:rPr>
                      <w:rFonts w:hint="eastAsia"/>
                      <w:bCs/>
                      <w:sz w:val="21"/>
                      <w:szCs w:val="21"/>
                    </w:rPr>
                    <w:t>第三方检测报告</w:t>
                  </w:r>
                </w:p>
              </w:tc>
            </w:tr>
          </w:tbl>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lang w:val="en-US" w:eastAsia="zh-CN"/>
              </w:rPr>
              <w:t>审核周期内未发生修订；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t>危害控制计划 (HACCP/OPRP 计划)</w:t>
            </w:r>
          </w:p>
          <w:p>
            <w:pPr>
              <w:shd w:val="clear" w:color="auto"/>
            </w:pPr>
            <w:r>
              <w:t>组织建立、实施和保持HACCP计划。</w:t>
            </w:r>
          </w:p>
          <w:p>
            <w:pPr>
              <w:shd w:val="clear"/>
              <w:spacing w:before="240" w:after="120"/>
              <w:rPr>
                <w:rFonts w:hint="default"/>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：不涉及HACCP计划：</w:t>
            </w:r>
          </w:p>
          <w:tbl>
            <w:tblPr>
              <w:tblStyle w:val="10"/>
              <w:tblW w:w="885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782"/>
              <w:gridCol w:w="1157"/>
              <w:gridCol w:w="1481"/>
              <w:gridCol w:w="2176"/>
              <w:gridCol w:w="17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5" w:hRule="atLeast"/>
                <w:tblHeader/>
              </w:trPr>
              <w:tc>
                <w:tcPr>
                  <w:tcW w:w="782" w:type="dxa"/>
                  <w:shd w:val="clear" w:color="auto" w:fill="auto"/>
                </w:tcPr>
                <w:p>
                  <w:pPr>
                    <w:pStyle w:val="26"/>
                    <w:rPr>
                      <w:lang w:eastAsia="zh-CN"/>
                    </w:rPr>
                  </w:pPr>
                  <w:r>
                    <w:rPr>
                      <w:rFonts w:hint="eastAsia"/>
                      <w:lang w:eastAsia="zh-CN"/>
                    </w:rPr>
                    <w:t>序号</w:t>
                  </w:r>
                </w:p>
              </w:tc>
              <w:tc>
                <w:tcPr>
                  <w:tcW w:w="1157" w:type="dxa"/>
                  <w:shd w:val="clear" w:color="auto" w:fill="auto"/>
                </w:tcPr>
                <w:p>
                  <w:pPr>
                    <w:pStyle w:val="26"/>
                    <w:rPr>
                      <w:lang w:eastAsia="zh-CN"/>
                    </w:rPr>
                  </w:pPr>
                  <w:r>
                    <w:rPr>
                      <w:rFonts w:hint="eastAsia"/>
                      <w:lang w:eastAsia="zh-CN"/>
                    </w:rPr>
                    <w:t>过程步骤</w:t>
                  </w:r>
                </w:p>
              </w:tc>
              <w:tc>
                <w:tcPr>
                  <w:tcW w:w="1481" w:type="dxa"/>
                  <w:shd w:val="clear" w:color="auto" w:fill="auto"/>
                </w:tcPr>
                <w:p>
                  <w:pPr>
                    <w:pStyle w:val="26"/>
                    <w:rPr>
                      <w:lang w:eastAsia="zh-CN"/>
                    </w:rPr>
                  </w:pPr>
                  <w:r>
                    <w:rPr>
                      <w:rFonts w:hint="eastAsia"/>
                      <w:lang w:val="en-US" w:eastAsia="zh-CN"/>
                    </w:rPr>
                    <w:t>食品安全</w:t>
                  </w:r>
                  <w:r>
                    <w:rPr>
                      <w:rFonts w:hint="eastAsia"/>
                      <w:lang w:eastAsia="zh-CN"/>
                    </w:rPr>
                    <w:t>危害</w:t>
                  </w:r>
                </w:p>
              </w:tc>
              <w:tc>
                <w:tcPr>
                  <w:tcW w:w="2176" w:type="dxa"/>
                  <w:shd w:val="clear" w:color="auto" w:fill="auto"/>
                </w:tcPr>
                <w:p>
                  <w:pPr>
                    <w:pStyle w:val="26"/>
                    <w:rPr>
                      <w:lang w:val="fr-FR" w:eastAsia="zh-CN"/>
                    </w:rPr>
                  </w:pPr>
                  <w:r>
                    <w:rPr>
                      <w:rFonts w:hint="eastAsia"/>
                      <w:lang w:val="fr-FR" w:eastAsia="zh-CN"/>
                    </w:rPr>
                    <w:t xml:space="preserve"> </w:t>
                  </w:r>
                  <w:r>
                    <w:rPr>
                      <w:rFonts w:hint="eastAsia"/>
                      <w:lang w:val="en-US" w:eastAsia="zh-CN"/>
                    </w:rPr>
                    <w:t>操作</w:t>
                  </w:r>
                  <w:r>
                    <w:rPr>
                      <w:rFonts w:hint="eastAsia"/>
                      <w:lang w:val="fr-FR" w:eastAsia="zh-CN"/>
                    </w:rPr>
                    <w:t>限值</w:t>
                  </w:r>
                </w:p>
              </w:tc>
              <w:tc>
                <w:tcPr>
                  <w:tcW w:w="1715" w:type="dxa"/>
                  <w:shd w:val="clear" w:color="auto" w:fill="auto"/>
                </w:tcPr>
                <w:p>
                  <w:pPr>
                    <w:pStyle w:val="26"/>
                    <w:rPr>
                      <w:lang w:eastAsia="zh-CN"/>
                    </w:rPr>
                  </w:pPr>
                  <w:r>
                    <w:rPr>
                      <w:rFonts w:hint="eastAsia"/>
                      <w:lang w:eastAsia="zh-CN"/>
                    </w:rPr>
                    <w:t>监控程序</w:t>
                  </w:r>
                </w:p>
              </w:tc>
              <w:tc>
                <w:tcPr>
                  <w:tcW w:w="1545" w:type="dxa"/>
                  <w:shd w:val="clear" w:color="auto" w:fill="auto"/>
                </w:tcPr>
                <w:p>
                  <w:pPr>
                    <w:pStyle w:val="26"/>
                    <w:jc w:val="both"/>
                    <w:rPr>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05" w:hRule="atLeast"/>
              </w:trPr>
              <w:tc>
                <w:tcPr>
                  <w:tcW w:w="78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032"/>
                    </w:tabs>
                    <w:snapToGrid w:val="0"/>
                    <w:spacing w:line="320" w:lineRule="atLeast"/>
                    <w:jc w:val="left"/>
                    <w:rPr>
                      <w:rFonts w:ascii="宋体" w:hAnsi="宋体" w:eastAsia="宋体" w:cs="Times New Roman"/>
                      <w:bCs/>
                      <w:kern w:val="2"/>
                      <w:sz w:val="21"/>
                      <w:szCs w:val="21"/>
                      <w:lang w:val="en-US" w:eastAsia="zh-CN" w:bidi="ar-SA"/>
                    </w:rPr>
                  </w:pPr>
                  <w:r>
                    <w:rPr>
                      <w:rFonts w:hint="eastAsia" w:ascii="宋体" w:hAnsi="宋体" w:cs="宋体"/>
                      <w:w w:val="90"/>
                      <w:sz w:val="21"/>
                      <w:szCs w:val="21"/>
                    </w:rPr>
                    <w:t>OPRP</w:t>
                  </w:r>
                  <w:r>
                    <w:rPr>
                      <w:rFonts w:hint="eastAsia" w:ascii="宋体" w:hAnsi="宋体" w:cs="宋体"/>
                      <w:w w:val="90"/>
                      <w:sz w:val="21"/>
                      <w:szCs w:val="21"/>
                      <w:lang w:val="en-US" w:eastAsia="zh-CN"/>
                    </w:rPr>
                    <w:t>1</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宋体" w:hAnsi="宋体" w:eastAsia="宋体" w:cs="Times New Roman"/>
                      <w:kern w:val="2"/>
                      <w:sz w:val="21"/>
                      <w:szCs w:val="21"/>
                      <w:lang w:val="en-US" w:eastAsia="zh-CN" w:bidi="ar-SA"/>
                    </w:rPr>
                  </w:pPr>
                  <w:r>
                    <w:rPr>
                      <w:rFonts w:hint="eastAsia" w:ascii="宋体" w:hAnsi="宋体" w:cs="宋体"/>
                      <w:w w:val="90"/>
                      <w:sz w:val="21"/>
                      <w:szCs w:val="21"/>
                    </w:rPr>
                    <w:t>吸塑成型</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重金属、影响产品成型质量、微生物</w:t>
                  </w:r>
                </w:p>
              </w:tc>
              <w:tc>
                <w:tcPr>
                  <w:tcW w:w="21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lang w:val="en-US" w:eastAsia="zh-CN"/>
                    </w:rPr>
                  </w:pPr>
                  <w:r>
                    <w:rPr>
                      <w:rFonts w:hint="eastAsia"/>
                      <w:lang w:val="en-US" w:eastAsia="zh-CN"/>
                    </w:rPr>
                    <w:t>负压成型机：生产工艺指标范围要求的温控参数±10℃、输入压力（0.5-0.7Mpa）；</w:t>
                  </w:r>
                </w:p>
                <w:p>
                  <w:pPr>
                    <w:pStyle w:val="2"/>
                    <w:tabs>
                      <w:tab w:val="left" w:pos="540"/>
                    </w:tabs>
                    <w:ind w:left="0" w:leftChars="0" w:firstLine="0" w:firstLineChars="0"/>
                    <w:rPr>
                      <w:rFonts w:hint="eastAsia"/>
                      <w:lang w:val="en-US" w:eastAsia="zh-CN"/>
                    </w:rPr>
                  </w:pPr>
                </w:p>
                <w:p>
                  <w:pPr>
                    <w:spacing w:line="240" w:lineRule="exact"/>
                    <w:jc w:val="left"/>
                    <w:rPr>
                      <w:rFonts w:ascii="宋体" w:hAnsi="宋体" w:eastAsia="宋体" w:cs="Times New Roman"/>
                      <w:kern w:val="2"/>
                      <w:sz w:val="21"/>
                      <w:szCs w:val="21"/>
                      <w:lang w:val="en-US" w:eastAsia="zh-CN" w:bidi="ar-SA"/>
                    </w:rPr>
                  </w:pPr>
                  <w:r>
                    <w:rPr>
                      <w:rFonts w:hint="eastAsia"/>
                      <w:highlight w:val="none"/>
                      <w:lang w:val="en-US" w:eastAsia="zh-CN"/>
                    </w:rPr>
                    <w:t>正负压成型机：工艺指标范围要求的温控参数±15℃、上下模转数1000-1500、输入压力（0.5-0.7Mpa）；</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numPr>
                      <w:ilvl w:val="0"/>
                      <w:numId w:val="7"/>
                    </w:numPr>
                    <w:jc w:val="left"/>
                    <w:rPr>
                      <w:sz w:val="21"/>
                      <w:szCs w:val="21"/>
                    </w:rPr>
                  </w:pPr>
                  <w:r>
                    <w:rPr>
                      <w:rFonts w:hint="eastAsia"/>
                      <w:sz w:val="21"/>
                      <w:szCs w:val="21"/>
                    </w:rPr>
                    <w:t>操作工每班对设备的温度和压力确认</w:t>
                  </w:r>
                  <w:r>
                    <w:rPr>
                      <w:rFonts w:hint="eastAsia"/>
                      <w:sz w:val="21"/>
                      <w:szCs w:val="21"/>
                      <w:lang w:eastAsia="zh-CN"/>
                    </w:rPr>
                    <w:t>；</w:t>
                  </w:r>
                </w:p>
                <w:p>
                  <w:pPr>
                    <w:pStyle w:val="2"/>
                    <w:numPr>
                      <w:ilvl w:val="0"/>
                      <w:numId w:val="7"/>
                    </w:numPr>
                    <w:tabs>
                      <w:tab w:val="left" w:pos="540"/>
                    </w:tabs>
                    <w:ind w:left="0" w:leftChars="0" w:firstLine="0" w:firstLineChars="0"/>
                    <w:jc w:val="left"/>
                    <w:rPr>
                      <w:rFonts w:hint="default"/>
                      <w:sz w:val="21"/>
                      <w:szCs w:val="21"/>
                      <w:lang w:val="en-US"/>
                    </w:rPr>
                  </w:pPr>
                  <w:r>
                    <w:rPr>
                      <w:rFonts w:hint="eastAsia"/>
                      <w:sz w:val="21"/>
                      <w:szCs w:val="21"/>
                      <w:lang w:val="en-US" w:eastAsia="zh-CN"/>
                    </w:rPr>
                    <w:t>次/2H；</w:t>
                  </w:r>
                </w:p>
                <w:p>
                  <w:pPr>
                    <w:pStyle w:val="2"/>
                    <w:numPr>
                      <w:ilvl w:val="0"/>
                      <w:numId w:val="0"/>
                    </w:numPr>
                    <w:tabs>
                      <w:tab w:val="left" w:pos="540"/>
                    </w:tabs>
                    <w:ind w:leftChars="0"/>
                    <w:jc w:val="left"/>
                    <w:rPr>
                      <w:rFonts w:hint="default"/>
                      <w:sz w:val="21"/>
                      <w:szCs w:val="21"/>
                      <w:lang w:val="en-US"/>
                    </w:rPr>
                  </w:pPr>
                </w:p>
              </w:tc>
              <w:tc>
                <w:tcPr>
                  <w:tcW w:w="1545" w:type="dxa"/>
                  <w:tcBorders>
                    <w:top w:val="single" w:color="auto" w:sz="4" w:space="0"/>
                    <w:left w:val="single" w:color="auto" w:sz="4" w:space="0"/>
                    <w:bottom w:val="single" w:color="auto" w:sz="4" w:space="0"/>
                    <w:right w:val="single" w:color="auto" w:sz="4" w:space="0"/>
                  </w:tcBorders>
                  <w:shd w:val="clear" w:color="auto" w:fill="auto"/>
                </w:tcPr>
                <w:p>
                  <w:pPr>
                    <w:pStyle w:val="2"/>
                    <w:tabs>
                      <w:tab w:val="left" w:pos="540"/>
                    </w:tabs>
                    <w:ind w:left="0" w:leftChars="0" w:firstLine="0" w:firstLineChars="0"/>
                    <w:jc w:val="left"/>
                    <w:rPr>
                      <w:rFonts w:hint="eastAsia"/>
                      <w:highlight w:val="none"/>
                      <w:lang w:val="en-US" w:eastAsia="zh-CN"/>
                    </w:rPr>
                  </w:pPr>
                  <w:r>
                    <w:rPr>
                      <w:rFonts w:hint="eastAsia"/>
                      <w:highlight w:val="none"/>
                      <w:lang w:val="en-US" w:eastAsia="zh-CN"/>
                    </w:rPr>
                    <w:t>1</w:t>
                  </w:r>
                </w:p>
                <w:p>
                  <w:pPr>
                    <w:pStyle w:val="2"/>
                    <w:tabs>
                      <w:tab w:val="left" w:pos="540"/>
                    </w:tabs>
                    <w:ind w:left="0" w:leftChars="0" w:firstLine="0" w:firstLineChars="0"/>
                    <w:jc w:val="left"/>
                    <w:rPr>
                      <w:rFonts w:hint="eastAsia"/>
                      <w:highlight w:val="none"/>
                      <w:lang w:val="en-US" w:eastAsia="zh-CN"/>
                    </w:rPr>
                  </w:pPr>
                </w:p>
                <w:p>
                  <w:pPr>
                    <w:pStyle w:val="2"/>
                    <w:tabs>
                      <w:tab w:val="left" w:pos="540"/>
                    </w:tabs>
                    <w:ind w:left="0" w:leftChars="0" w:firstLine="0" w:firstLineChars="0"/>
                    <w:jc w:val="left"/>
                    <w:rPr>
                      <w:rFonts w:hint="eastAsia"/>
                      <w:highlight w:val="none"/>
                      <w:lang w:val="en-US" w:eastAsia="zh-CN"/>
                    </w:rPr>
                  </w:pPr>
                </w:p>
                <w:p>
                  <w:pPr>
                    <w:pStyle w:val="2"/>
                    <w:tabs>
                      <w:tab w:val="left" w:pos="540"/>
                    </w:tabs>
                    <w:ind w:left="0" w:leftChars="0" w:firstLine="0" w:firstLineChars="0"/>
                    <w:jc w:val="left"/>
                    <w:rPr>
                      <w:rFonts w:hint="eastAsia"/>
                      <w:highlight w:val="none"/>
                      <w:lang w:val="en-US" w:eastAsia="zh-CN"/>
                    </w:rPr>
                  </w:pPr>
                </w:p>
                <w:p>
                  <w:pPr>
                    <w:pStyle w:val="2"/>
                    <w:tabs>
                      <w:tab w:val="left" w:pos="540"/>
                    </w:tabs>
                    <w:ind w:left="0" w:leftChars="0" w:firstLine="0" w:firstLineChars="0"/>
                    <w:jc w:val="left"/>
                    <w:rPr>
                      <w:rFonts w:hint="default"/>
                      <w:highlight w:val="none"/>
                      <w:lang w:val="en-US" w:eastAsia="zh-CN"/>
                    </w:rPr>
                  </w:pPr>
                  <w:r>
                    <w:rPr>
                      <w:rFonts w:hint="eastAsia"/>
                      <w:color w:val="FF0000"/>
                      <w:highlight w:val="none"/>
                      <w:lang w:val="en-US" w:eastAsia="zh-CN"/>
                    </w:rPr>
                    <w:t>3</w:t>
                  </w:r>
                </w:p>
              </w:tc>
            </w:tr>
          </w:tbl>
          <w:p>
            <w:pPr>
              <w:pStyle w:val="2"/>
              <w:rPr>
                <w:rFonts w:hint="eastAsia"/>
                <w:lang w:val="en-US" w:eastAsia="zh-CN"/>
              </w:rPr>
            </w:pPr>
          </w:p>
          <w:p>
            <w:pPr>
              <w:spacing w:before="120" w:line="360" w:lineRule="auto"/>
              <w:ind w:firstLine="422" w:firstLineChars="200"/>
              <w:rPr>
                <w:rFonts w:hint="default"/>
                <w:color w:val="FF0000"/>
                <w:lang w:val="en-US" w:eastAsia="zh-CN"/>
              </w:rPr>
            </w:pPr>
            <w:r>
              <w:rPr>
                <w:rFonts w:hint="eastAsia" w:ascii="方正仿宋简体" w:eastAsia="方正仿宋简体"/>
                <w:b/>
                <w:bCs w:val="0"/>
                <w:color w:val="FF0000"/>
                <w:lang w:val="en-US" w:eastAsia="zh-CN"/>
              </w:rPr>
              <w:t>2022-02-14生产现场查看发现：148防雾平盖吸塑成型（OPRP点），</w:t>
            </w:r>
            <w:r>
              <w:rPr>
                <w:rFonts w:hint="eastAsia"/>
                <w:b/>
                <w:bCs w:val="0"/>
                <w:color w:val="FF0000"/>
                <w:highlight w:val="none"/>
                <w:lang w:val="en-US" w:eastAsia="zh-CN"/>
              </w:rPr>
              <w:t>压力：0.6Mpa，成型上膜合膜速度1400转，成型上膜开模速度1500转，成型下膜合膜速度1500转，成型下膜开膜速度1500转，《全自动政府压伺服三工位成型一体机点检表》显示上炉温控制温度区为1-15，与《全自动正负压伺服三工位成型一体机生产工艺指标》要求：上炉温温控区1-10不一致。</w:t>
            </w:r>
            <w:r>
              <w:rPr>
                <w:rFonts w:hint="eastAsia"/>
                <w:color w:val="FF0000"/>
                <w:lang w:val="en-US" w:eastAsia="zh-CN"/>
              </w:rPr>
              <w:t>见不符合项报告</w:t>
            </w:r>
          </w:p>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b/>
                <w:bCs/>
              </w:rPr>
            </w:pPr>
            <w:r>
              <w:t xml:space="preserve"> </w:t>
            </w:r>
            <w:r>
              <w:rPr>
                <w:b/>
                <w:bCs/>
              </w:rPr>
              <w:t>PRP和 危害控制计划文件的更新</w:t>
            </w:r>
          </w:p>
          <w:p>
            <w:pPr>
              <w:shd w:val="clear" w:color="auto"/>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rPr>
                <w:rFonts w:hint="default" w:eastAsia="宋体"/>
                <w:lang w:val="en-US" w:eastAsia="zh-CN"/>
              </w:rPr>
            </w:pPr>
            <w:r>
              <w:rPr>
                <w:rFonts w:hint="eastAsia"/>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highlight w:val="none"/>
              </w:rPr>
            </w:pPr>
            <w:r>
              <w:rPr>
                <w:b/>
                <w:bCs/>
                <w:highlight w:val="none"/>
              </w:rPr>
              <w:t>监视和测量的控制</w:t>
            </w:r>
          </w:p>
          <w:p>
            <w:pPr>
              <w:shd w:val="clear" w:color="auto"/>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中心温度计、电子台秤等</w:t>
            </w:r>
            <w:r>
              <w:rPr>
                <w:rFonts w:hint="eastAsia"/>
                <w:highlight w:val="none"/>
                <w:u w:val="single"/>
              </w:rPr>
              <w:t xml:space="preserve">      </w:t>
            </w:r>
            <w:r>
              <w:rPr>
                <w:rFonts w:hint="eastAsia"/>
                <w:highlight w:val="none"/>
              </w:rPr>
              <w:t xml:space="preserve">     （列举1~4种）</w:t>
            </w:r>
          </w:p>
          <w:p>
            <w:pPr>
              <w:shd w:val="clear" w:color="auto"/>
              <w:rPr>
                <w:rFonts w:hint="eastAsia"/>
                <w:highlight w:val="none"/>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2251"/>
              <w:gridCol w:w="1684"/>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shd w:val="clear"/>
                  </w:pPr>
                  <w:r>
                    <w:rPr>
                      <w:rFonts w:hint="eastAsia"/>
                    </w:rPr>
                    <w:t>计量器具名称</w:t>
                  </w:r>
                </w:p>
              </w:tc>
              <w:tc>
                <w:tcPr>
                  <w:tcW w:w="2370" w:type="dxa"/>
                </w:tcPr>
                <w:p>
                  <w:pPr>
                    <w:shd w:val="clear"/>
                  </w:pPr>
                  <w:r>
                    <w:rPr>
                      <w:rFonts w:hint="eastAsia"/>
                    </w:rPr>
                    <w:t>检定或校准证书编号</w:t>
                  </w:r>
                </w:p>
              </w:tc>
              <w:tc>
                <w:tcPr>
                  <w:tcW w:w="1777" w:type="dxa"/>
                </w:tcPr>
                <w:p>
                  <w:pPr>
                    <w:shd w:val="clear"/>
                  </w:pPr>
                  <w:r>
                    <w:rPr>
                      <w:rFonts w:hint="eastAsia"/>
                    </w:rPr>
                    <w:t>有限期限至</w:t>
                  </w:r>
                </w:p>
              </w:tc>
              <w:tc>
                <w:tcPr>
                  <w:tcW w:w="2923" w:type="dxa"/>
                </w:tcPr>
                <w:p>
                  <w:pPr>
                    <w:shd w:val="clear"/>
                  </w:pPr>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szCs w:val="21"/>
                      <w:lang w:val="en-US" w:eastAsia="zh-CN"/>
                    </w:rPr>
                    <w:t>钢直尺</w:t>
                  </w:r>
                </w:p>
              </w:tc>
              <w:tc>
                <w:tcPr>
                  <w:tcW w:w="2370"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szCs w:val="21"/>
                    </w:rPr>
                    <w:t>2</w:t>
                  </w:r>
                  <w:r>
                    <w:rPr>
                      <w:rFonts w:hint="eastAsia"/>
                      <w:szCs w:val="21"/>
                      <w:lang w:val="en-US" w:eastAsia="zh-CN"/>
                    </w:rPr>
                    <w:t>10529001A004</w:t>
                  </w:r>
                </w:p>
              </w:tc>
              <w:tc>
                <w:tcPr>
                  <w:tcW w:w="1777"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szCs w:val="21"/>
                    </w:rPr>
                    <w:t>202</w:t>
                  </w:r>
                  <w:r>
                    <w:rPr>
                      <w:rFonts w:hint="eastAsia"/>
                      <w:szCs w:val="21"/>
                      <w:lang w:val="en-US" w:eastAsia="zh-CN"/>
                    </w:rPr>
                    <w:t>2-06-01</w:t>
                  </w:r>
                </w:p>
              </w:tc>
              <w:tc>
                <w:tcPr>
                  <w:tcW w:w="2923"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rPr>
                    <w:t>检</w:t>
                  </w:r>
                  <w:r>
                    <w:t>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szCs w:val="21"/>
                      <w:lang w:val="en-US" w:eastAsia="zh-CN"/>
                    </w:rPr>
                    <w:t>量筒</w:t>
                  </w:r>
                </w:p>
              </w:tc>
              <w:tc>
                <w:tcPr>
                  <w:tcW w:w="2370"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szCs w:val="21"/>
                      <w:lang w:val="en-US" w:eastAsia="zh-CN"/>
                    </w:rPr>
                    <w:t>YH2020-09317</w:t>
                  </w:r>
                </w:p>
              </w:tc>
              <w:tc>
                <w:tcPr>
                  <w:tcW w:w="1777" w:type="dxa"/>
                  <w:vAlign w:val="top"/>
                </w:tcPr>
                <w:p>
                  <w:pPr>
                    <w:rPr>
                      <w:rFonts w:hint="default" w:ascii="Times New Roman" w:hAnsi="Times New Roman" w:eastAsia="宋体" w:cs="Times New Roman"/>
                      <w:color w:val="000000" w:themeColor="text1"/>
                      <w:kern w:val="2"/>
                      <w:sz w:val="21"/>
                      <w:szCs w:val="21"/>
                      <w:lang w:val="en-US" w:eastAsia="zh-CN" w:bidi="ar-SA"/>
                    </w:rPr>
                  </w:pPr>
                  <w:r>
                    <w:rPr>
                      <w:rFonts w:hint="eastAsia"/>
                      <w:szCs w:val="21"/>
                      <w:lang w:val="en-US" w:eastAsia="zh-CN"/>
                    </w:rPr>
                    <w:t>2023-06-29</w:t>
                  </w:r>
                </w:p>
              </w:tc>
              <w:tc>
                <w:tcPr>
                  <w:tcW w:w="2923" w:type="dxa"/>
                  <w:vAlign w:val="top"/>
                </w:tcPr>
                <w:p>
                  <w:pPr>
                    <w:rPr>
                      <w:rFonts w:hint="eastAsia" w:ascii="Times New Roman" w:hAnsi="Times New Roman" w:eastAsia="宋体" w:cs="Times New Roman"/>
                      <w:kern w:val="2"/>
                      <w:sz w:val="21"/>
                      <w:szCs w:val="21"/>
                      <w:lang w:val="en-US" w:eastAsia="zh-CN" w:bidi="ar-SA"/>
                    </w:rPr>
                  </w:pPr>
                  <w:r>
                    <w:rPr>
                      <w:rFonts w:hint="eastAsia"/>
                    </w:rPr>
                    <w:t>检</w:t>
                  </w:r>
                  <w:r>
                    <w:t>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999" w:type="dxa"/>
                  <w:vAlign w:val="top"/>
                </w:tcPr>
                <w:p>
                  <w:pPr>
                    <w:rPr>
                      <w:rFonts w:hint="default" w:ascii="Times New Roman" w:hAnsi="Times New Roman" w:eastAsia="宋体" w:cs="Times New Roman"/>
                      <w:color w:val="000000" w:themeColor="text1"/>
                      <w:kern w:val="2"/>
                      <w:sz w:val="21"/>
                      <w:szCs w:val="21"/>
                      <w:lang w:val="en-US" w:eastAsia="zh-CN" w:bidi="ar-SA"/>
                    </w:rPr>
                  </w:pPr>
                </w:p>
              </w:tc>
              <w:tc>
                <w:tcPr>
                  <w:tcW w:w="2216" w:type="dxa"/>
                  <w:vAlign w:val="top"/>
                </w:tcPr>
                <w:p>
                  <w:pPr>
                    <w:rPr>
                      <w:rFonts w:hint="default" w:ascii="Times New Roman" w:hAnsi="Times New Roman" w:eastAsia="宋体" w:cs="Times New Roman"/>
                      <w:color w:val="000000" w:themeColor="text1"/>
                      <w:kern w:val="2"/>
                      <w:sz w:val="21"/>
                      <w:szCs w:val="21"/>
                      <w:lang w:val="en-US" w:eastAsia="zh-CN" w:bidi="ar-SA"/>
                    </w:rPr>
                  </w:pPr>
                </w:p>
              </w:tc>
              <w:tc>
                <w:tcPr>
                  <w:tcW w:w="1602" w:type="dxa"/>
                  <w:vAlign w:val="top"/>
                </w:tcPr>
                <w:p>
                  <w:pPr>
                    <w:rPr>
                      <w:rFonts w:hint="default" w:ascii="Times New Roman" w:hAnsi="Times New Roman" w:eastAsia="宋体" w:cs="Times New Roman"/>
                      <w:color w:val="000000" w:themeColor="text1"/>
                      <w:kern w:val="2"/>
                      <w:sz w:val="21"/>
                      <w:szCs w:val="21"/>
                      <w:lang w:val="en-US" w:eastAsia="zh-CN" w:bidi="ar-SA"/>
                    </w:rPr>
                  </w:pPr>
                </w:p>
              </w:tc>
              <w:tc>
                <w:tcPr>
                  <w:tcW w:w="2226" w:type="dxa"/>
                  <w:vAlign w:val="top"/>
                </w:tcPr>
                <w:p>
                  <w:pP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999" w:type="dxa"/>
                  <w:vAlign w:val="top"/>
                </w:tcPr>
                <w:p>
                  <w:pPr>
                    <w:rPr>
                      <w:rFonts w:hint="default" w:ascii="Times New Roman" w:hAnsi="Times New Roman" w:eastAsia="宋体" w:cs="Times New Roman"/>
                      <w:color w:val="auto"/>
                      <w:kern w:val="2"/>
                      <w:sz w:val="21"/>
                      <w:szCs w:val="21"/>
                      <w:lang w:val="en-US" w:eastAsia="zh-CN" w:bidi="ar-SA"/>
                    </w:rPr>
                  </w:pPr>
                </w:p>
              </w:tc>
              <w:tc>
                <w:tcPr>
                  <w:tcW w:w="2216" w:type="dxa"/>
                  <w:vAlign w:val="top"/>
                </w:tcPr>
                <w:p>
                  <w:pPr>
                    <w:rPr>
                      <w:rFonts w:hint="default" w:ascii="Times New Roman" w:hAnsi="Times New Roman" w:eastAsia="宋体" w:cs="Times New Roman"/>
                      <w:color w:val="auto"/>
                      <w:kern w:val="2"/>
                      <w:sz w:val="21"/>
                      <w:szCs w:val="21"/>
                      <w:lang w:val="en-US" w:eastAsia="zh-CN" w:bidi="ar-SA"/>
                    </w:rPr>
                  </w:pPr>
                </w:p>
              </w:tc>
              <w:tc>
                <w:tcPr>
                  <w:tcW w:w="1602" w:type="dxa"/>
                  <w:vAlign w:val="top"/>
                </w:tcPr>
                <w:p>
                  <w:pPr>
                    <w:rPr>
                      <w:rFonts w:hint="default" w:ascii="Times New Roman" w:hAnsi="Times New Roman" w:eastAsia="宋体" w:cs="Times New Roman"/>
                      <w:color w:val="000000" w:themeColor="text1"/>
                      <w:kern w:val="2"/>
                      <w:sz w:val="21"/>
                      <w:szCs w:val="21"/>
                      <w:lang w:val="en-US" w:eastAsia="zh-CN" w:bidi="ar-SA"/>
                    </w:rPr>
                  </w:pPr>
                </w:p>
              </w:tc>
              <w:tc>
                <w:tcPr>
                  <w:tcW w:w="2226" w:type="dxa"/>
                  <w:vAlign w:val="top"/>
                </w:tcPr>
                <w:p>
                  <w:pP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999" w:type="dxa"/>
                  <w:vAlign w:val="top"/>
                </w:tcPr>
                <w:p>
                  <w:pPr>
                    <w:rPr>
                      <w:rFonts w:hint="default" w:ascii="Times New Roman" w:hAnsi="Times New Roman" w:eastAsia="宋体" w:cs="Times New Roman"/>
                      <w:color w:val="auto"/>
                      <w:kern w:val="2"/>
                      <w:sz w:val="21"/>
                      <w:szCs w:val="21"/>
                      <w:lang w:val="en-US" w:eastAsia="zh-CN" w:bidi="ar-SA"/>
                    </w:rPr>
                  </w:pPr>
                </w:p>
              </w:tc>
              <w:tc>
                <w:tcPr>
                  <w:tcW w:w="2216" w:type="dxa"/>
                  <w:vAlign w:val="top"/>
                </w:tcPr>
                <w:p>
                  <w:pPr>
                    <w:rPr>
                      <w:rFonts w:hint="default" w:ascii="Times New Roman" w:hAnsi="Times New Roman" w:eastAsia="宋体" w:cs="Times New Roman"/>
                      <w:color w:val="auto"/>
                      <w:kern w:val="2"/>
                      <w:sz w:val="21"/>
                      <w:szCs w:val="21"/>
                      <w:lang w:val="en-US" w:eastAsia="zh-CN" w:bidi="ar-SA"/>
                    </w:rPr>
                  </w:pPr>
                </w:p>
              </w:tc>
              <w:tc>
                <w:tcPr>
                  <w:tcW w:w="1602" w:type="dxa"/>
                  <w:vAlign w:val="top"/>
                </w:tcPr>
                <w:p>
                  <w:pPr>
                    <w:rPr>
                      <w:rFonts w:hint="default" w:ascii="Times New Roman" w:hAnsi="Times New Roman" w:eastAsia="宋体" w:cs="Times New Roman"/>
                      <w:color w:val="000000" w:themeColor="text1"/>
                      <w:kern w:val="2"/>
                      <w:sz w:val="21"/>
                      <w:szCs w:val="21"/>
                      <w:lang w:val="en-US" w:eastAsia="zh-CN" w:bidi="ar-SA"/>
                    </w:rPr>
                  </w:pPr>
                </w:p>
              </w:tc>
              <w:tc>
                <w:tcPr>
                  <w:tcW w:w="2226" w:type="dxa"/>
                  <w:vAlign w:val="top"/>
                </w:tcPr>
                <w:p>
                  <w:pPr>
                    <w:rPr>
                      <w:rFonts w:hint="eastAsia" w:ascii="Times New Roman" w:hAnsi="Times New Roman" w:eastAsia="宋体" w:cs="Times New Roman"/>
                      <w:kern w:val="2"/>
                      <w:sz w:val="21"/>
                      <w:szCs w:val="21"/>
                      <w:lang w:val="en-US" w:eastAsia="zh-CN" w:bidi="ar-SA"/>
                    </w:rPr>
                  </w:pPr>
                </w:p>
              </w:tc>
            </w:tr>
          </w:tbl>
          <w:p>
            <w:pPr>
              <w:pStyle w:val="2"/>
              <w:shd w:val="clear"/>
              <w:ind w:left="0" w:leftChars="0" w:firstLine="0" w:firstLineChars="0"/>
              <w:rPr>
                <w:rFonts w:hint="eastAsia" w:ascii="方正仿宋简体" w:eastAsia="方正仿宋简体"/>
                <w:b/>
                <w:color w:val="FF0000"/>
                <w:highlight w:val="yellow"/>
              </w:rPr>
            </w:pPr>
          </w:p>
          <w:p>
            <w:pPr>
              <w:shd w:val="clear" w:color="auto"/>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与 PRP、危害控制计划有关的验证</w:t>
            </w:r>
          </w:p>
          <w:p>
            <w:pPr>
              <w:shd w:val="clear" w:color="auto"/>
            </w:pPr>
            <w:r>
              <w:t>组织建立、实施和保持验证活动，规定验证活动的目的、方法、频次和职责。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10</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lang w:val="en-US" w:eastAsia="zh-CN"/>
              </w:rPr>
              <w:t>20</w:t>
            </w:r>
            <w:r>
              <w:rPr>
                <w:rFonts w:hint="eastAsia"/>
                <w:color w:val="0000FF"/>
                <w:szCs w:val="21"/>
                <w:highlight w:val="none"/>
              </w:rPr>
              <w:t>日，进行验证了PRP。</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10</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lang w:val="en-US" w:eastAsia="zh-CN"/>
              </w:rPr>
              <w:t>20</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hd w:val="clear"/>
              <w:spacing w:before="40" w:after="40"/>
              <w:rPr>
                <w:szCs w:val="21"/>
              </w:rPr>
            </w:pPr>
            <w:r>
              <w:rPr>
                <w:rFonts w:hint="eastAsia"/>
                <w:szCs w:val="21"/>
              </w:rPr>
              <w:t>启动和实施产品召回计划人员的职责和权限</w:t>
            </w:r>
          </w:p>
          <w:p>
            <w:pPr>
              <w:widowControl/>
              <w:numPr>
                <w:ilvl w:val="0"/>
                <w:numId w:val="8"/>
              </w:numPr>
              <w:shd w:val="clear"/>
              <w:spacing w:before="40" w:after="40"/>
              <w:rPr>
                <w:szCs w:val="21"/>
              </w:rPr>
            </w:pPr>
            <w:r>
              <w:rPr>
                <w:rFonts w:hint="eastAsia"/>
                <w:szCs w:val="21"/>
              </w:rPr>
              <w:t>产品召回行动需符合的相关法律、法规和其他相关要求</w:t>
            </w:r>
          </w:p>
          <w:p>
            <w:pPr>
              <w:widowControl/>
              <w:numPr>
                <w:ilvl w:val="0"/>
                <w:numId w:val="8"/>
              </w:numPr>
              <w:shd w:val="clear"/>
              <w:spacing w:before="40" w:after="40"/>
              <w:rPr>
                <w:szCs w:val="21"/>
              </w:rPr>
            </w:pPr>
            <w:r>
              <w:rPr>
                <w:rFonts w:hint="eastAsia"/>
                <w:szCs w:val="21"/>
              </w:rPr>
              <w:t>制定并实施受安全危害影响产品的召回措施</w:t>
            </w:r>
          </w:p>
          <w:p>
            <w:pPr>
              <w:widowControl/>
              <w:numPr>
                <w:ilvl w:val="0"/>
                <w:numId w:val="8"/>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rFonts w:hint="default" w:eastAsia="宋体"/>
                <w:szCs w:val="21"/>
                <w:highlight w:val="none"/>
                <w:lang w:val="en-US" w:eastAsia="zh-CN"/>
              </w:rPr>
            </w:pPr>
            <w:r>
              <w:rPr>
                <w:rFonts w:hint="eastAsia"/>
                <w:szCs w:val="21"/>
                <w:highlight w:val="none"/>
                <w:u w:val="single"/>
              </w:rPr>
              <w:t xml:space="preserve">    </w:t>
            </w:r>
            <w:r>
              <w:rPr>
                <w:rFonts w:hint="eastAsia"/>
                <w:szCs w:val="21"/>
                <w:highlight w:val="none"/>
                <w:u w:val="single"/>
                <w:lang w:val="en-US" w:eastAsia="zh-CN"/>
              </w:rPr>
              <w:t>2021</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 xml:space="preserve">6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21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发往加拿大的SHX-202101-04-1(175平盖)不打孔有油污影响产品质量，订单编号：SHX-202101-04</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FE"/>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PrEx>
        <w:trPr>
          <w:trHeight w:val="90" w:hRule="atLeast"/>
        </w:trPr>
        <w:tc>
          <w:tcPr>
            <w:tcW w:w="680" w:type="dxa"/>
            <w:vMerge w:val="restart"/>
            <w:shd w:val="clear" w:color="auto" w:fill="F4B8FF"/>
          </w:tcPr>
          <w:p>
            <w:pPr>
              <w:shd w:val="clear" w:color="auto"/>
            </w:pPr>
            <w:r>
              <w:rPr>
                <w:rFonts w:hint="eastAsia"/>
              </w:rPr>
              <w:t>绩效评价</w:t>
            </w:r>
          </w:p>
        </w:tc>
        <w:tc>
          <w:tcPr>
            <w:tcW w:w="9282" w:type="dxa"/>
            <w:shd w:val="clear" w:color="auto" w:fill="F4B8FF"/>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9"/>
              </w:numPr>
              <w:shd w:val="clear" w:color="auto"/>
            </w:pPr>
            <w:r>
              <w:rPr>
                <w:rFonts w:hint="eastAsia"/>
              </w:rPr>
              <w:t>PRP和危害控制计划</w:t>
            </w:r>
          </w:p>
          <w:p>
            <w:pPr>
              <w:numPr>
                <w:ilvl w:val="0"/>
                <w:numId w:val="9"/>
              </w:numPr>
              <w:shd w:val="clear" w:color="auto"/>
            </w:pPr>
            <w:r>
              <w:rPr>
                <w:rFonts w:hint="eastAsia"/>
              </w:rPr>
              <w:t>内部审核的结果</w:t>
            </w:r>
          </w:p>
          <w:p>
            <w:pPr>
              <w:numPr>
                <w:ilvl w:val="0"/>
                <w:numId w:val="9"/>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 xml:space="preserve">21-22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p>
          <w:p>
            <w:pPr>
              <w:shd w:val="clear" w:color="auto"/>
            </w:pPr>
            <w:r>
              <w:rPr>
                <w:rFonts w:hint="eastAsia" w:ascii="Wingdings" w:hAnsi="Wingdings"/>
              </w:rPr>
              <w:t>¨</w:t>
            </w:r>
            <w:r>
              <w:rPr>
                <w:rFonts w:hint="eastAsia"/>
              </w:rPr>
              <w:t>对所有班次的现场操作已审核。</w:t>
            </w:r>
          </w:p>
          <w:p>
            <w:pPr>
              <w:shd w:val="clear" w:color="auto"/>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lang w:val="en-US" w:eastAsia="zh-CN"/>
              </w:rPr>
              <w:t xml:space="preserve">4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pPr>
            <w:r>
              <w:rPr>
                <w:rFonts w:hint="eastAsia"/>
              </w:rPr>
              <w:t>改进</w:t>
            </w:r>
          </w:p>
        </w:tc>
        <w:tc>
          <w:tcPr>
            <w:tcW w:w="9282" w:type="dxa"/>
            <w:shd w:val="clear" w:color="auto" w:fill="F4B8FF"/>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组织持续改进FSMS的适宜性、充分性和有效性。</w:t>
            </w:r>
          </w:p>
          <w:p>
            <w:pPr>
              <w:shd w:val="clear" w:color="auto"/>
            </w:pPr>
            <w:r>
              <w:rPr>
                <w:rFonts w:hint="eastAsia"/>
              </w:rPr>
              <w:t>最高管理者应确保组织通过以下活动，持续改进食品安全管理体系的有效性：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pPr>
          </w:p>
        </w:tc>
        <w:tc>
          <w:tcPr>
            <w:tcW w:w="9282" w:type="dxa"/>
            <w:shd w:val="clear" w:color="auto" w:fill="F4B8FF"/>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8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8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
    <w:panose1 w:val="020B0604020202030204"/>
    <w:charset w:val="00"/>
    <w:family w:val="auto"/>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EF18E3"/>
    <w:multiLevelType w:val="singleLevel"/>
    <w:tmpl w:val="1AEF18E3"/>
    <w:lvl w:ilvl="0" w:tentative="0">
      <w:start w:val="1"/>
      <w:numFmt w:val="decimal"/>
      <w:suff w:val="space"/>
      <w:lvlText w:val="%1."/>
      <w:lvlJc w:val="left"/>
    </w:lvl>
  </w:abstractNum>
  <w:abstractNum w:abstractNumId="5">
    <w:nsid w:val="1F1D8771"/>
    <w:multiLevelType w:val="singleLevel"/>
    <w:tmpl w:val="1F1D8771"/>
    <w:lvl w:ilvl="0" w:tentative="0">
      <w:start w:val="1"/>
      <w:numFmt w:val="decimal"/>
      <w:suff w:val="space"/>
      <w:lvlText w:val="%1."/>
      <w:lvlJc w:val="left"/>
    </w:lvl>
  </w:abstractNum>
  <w:abstractNum w:abstractNumId="6">
    <w:nsid w:val="2E368935"/>
    <w:multiLevelType w:val="singleLevel"/>
    <w:tmpl w:val="2E368935"/>
    <w:lvl w:ilvl="0" w:tentative="0">
      <w:start w:val="1"/>
      <w:numFmt w:val="decimal"/>
      <w:suff w:val="space"/>
      <w:lvlText w:val="%1."/>
      <w:lvlJc w:val="left"/>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4"/>
  </w:num>
  <w:num w:numId="4">
    <w:abstractNumId w:val="2"/>
  </w:num>
  <w:num w:numId="5">
    <w:abstractNumId w:val="0"/>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A53208E"/>
    <w:rsid w:val="756A2C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2</TotalTime>
  <ScaleCrop>false</ScaleCrop>
  <LinksUpToDate>false</LinksUpToDate>
  <CharactersWithSpaces>40899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2022-02-26T14:46:29Z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