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东方交联电力电缆有限公司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8111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