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北京美嘉康泰健康管理有限公司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38.04.00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马靖崴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38.04.00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赵瑞双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家庭劳务服务流程图：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签订合同→根据客户需求寻找服务人员→确定服务人员能力→分配服务人员→服务实施→顾客回访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关键过程及特殊过程：护理过程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主要控制要求：人员能力、人员培训、护理手册、护理工具、人员健康情况等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31771-2015家政服务 母婴生活护理服务质量规范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33855-2017母婴保健服务场所通用要求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SB/T 10984-2013家庭母婴护理服务规范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符合合同及法规要求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北京美嘉康泰健康管理有限公司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E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38.04.00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马靖崴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E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38.04.00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赵瑞双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家庭劳务服务流程图：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签订合同→根据客户需求寻找服务人员→确定服务人员能力→分配服务人员→服务实施→顾客回访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提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北京美嘉康泰健康管理有限公司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38.04.00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马靖崴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S</w:t>
            </w:r>
            <w:bookmarkStart w:id="15" w:name="_GoBack"/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38.04.00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赵瑞双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家庭劳务服务流程图：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签订合同→根据客户需求寻找服务人员→确定服务人员能力→分配服务人员→服务实施→顾客回访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</w:t>
            </w:r>
            <w:bookmarkStart w:id="3" w:name="_Hlt226628073"/>
            <w:bookmarkStart w:id="4" w:name="_Hlt22662807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</w:t>
            </w:r>
            <w:bookmarkStart w:id="5" w:name="_Hlt202798418"/>
            <w:bookmarkStart w:id="6" w:name="_Hlt202798385"/>
            <w:bookmarkStart w:id="7" w:name="_Hlt202798419"/>
            <w:bookmarkStart w:id="8" w:name="_Hlt202798386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突</w:t>
            </w:r>
            <w:bookmarkEnd w:id="5"/>
            <w:bookmarkEnd w:id="6"/>
            <w:bookmarkEnd w:id="7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发事</w:t>
            </w:r>
            <w:bookmarkStart w:id="9" w:name="_Hlt202798398"/>
            <w:bookmarkStart w:id="10" w:name="_Hlt202798397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件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</w:t>
            </w:r>
            <w:bookmarkStart w:id="11" w:name="_Hlt202801267"/>
            <w:bookmarkStart w:id="12" w:name="_Hlt20280126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染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病</w:t>
            </w:r>
            <w:bookmarkStart w:id="13" w:name="_Hlt202801121"/>
            <w:bookmarkStart w:id="14" w:name="_Hlt20280112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B735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2022-02-21T02:54:20Z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2052-11.1.0.11045</vt:lpwstr>
  </property>
</Properties>
</file>