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0045-2022-EO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邢台顺企机械有限公司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2022年02月19日 上午至2022年02月19日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00" w:themeColor="text1"/>
                <w:szCs w:val="21"/>
              </w:rPr>
            </w:pPr>
            <w:r>
              <w:rPr>
                <w:rFonts w:hint="eastAsia" w:cs="Arial"/>
                <w:b/>
                <w:bCs/>
                <w:color w:val="000000" w:themeColor="text1"/>
                <w:szCs w:val="21"/>
              </w:rPr>
              <w:t>审核地址（含远程）</w:t>
            </w:r>
          </w:p>
        </w:tc>
        <w:tc>
          <w:tcPr>
            <w:tcW w:w="7431" w:type="dxa"/>
            <w:tcMar>
              <w:left w:w="113" w:type="dxa"/>
            </w:tcMar>
          </w:tcPr>
          <w:p>
            <w:pPr>
              <w:rPr>
                <w:rFonts w:ascii="宋体"/>
                <w:b/>
                <w:color w:val="000000" w:themeColor="text1"/>
                <w:szCs w:val="21"/>
              </w:rPr>
            </w:pPr>
            <w:r>
              <w:rPr>
                <w:rFonts w:hint="eastAsia" w:ascii="宋体"/>
                <w:b/>
                <w:color w:val="000000" w:themeColor="text1"/>
                <w:szCs w:val="21"/>
              </w:rPr>
              <w:t>邢台顺企机械有限公司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2021-N1EMS-2222792</w:t>
            </w:r>
          </w:p>
          <w:p>
            <w:pPr>
              <w:spacing w:line="240" w:lineRule="exact"/>
              <w:jc w:val="center"/>
              <w:rPr>
                <w:b/>
                <w:color w:val="000000"/>
                <w:szCs w:val="21"/>
              </w:rPr>
            </w:pPr>
            <w:r>
              <w:rPr>
                <w:b/>
                <w:color w:val="000000"/>
                <w:szCs w:val="21"/>
              </w:rPr>
              <w:t>2021-N1OHSMS-2222792</w:t>
            </w:r>
          </w:p>
        </w:tc>
        <w:tc>
          <w:tcPr>
            <w:tcW w:w="1140" w:type="dxa"/>
            <w:vAlign w:val="center"/>
          </w:tcPr>
          <w:p>
            <w:pPr>
              <w:spacing w:line="240" w:lineRule="exact"/>
              <w:jc w:val="center"/>
              <w:rPr>
                <w:b/>
                <w:color w:val="000000"/>
                <w:szCs w:val="21"/>
              </w:rPr>
            </w:pPr>
            <w:r>
              <w:rPr>
                <w:b/>
                <w:color w:val="000000"/>
                <w:szCs w:val="21"/>
              </w:rPr>
              <w:t>E:17.05.01,17.11.03,18.01.05</w:t>
            </w:r>
          </w:p>
          <w:p>
            <w:pPr>
              <w:spacing w:line="240" w:lineRule="exact"/>
              <w:jc w:val="center"/>
              <w:rPr>
                <w:b/>
                <w:color w:val="000000"/>
                <w:szCs w:val="21"/>
              </w:rPr>
            </w:pPr>
            <w:r>
              <w:rPr>
                <w:b/>
                <w:color w:val="000000"/>
                <w:szCs w:val="21"/>
              </w:rPr>
              <w:t>O:17.05.01,17.11.03,18.01.05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邢台顺企机械有限公司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内丘县内昔公路新城村南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054200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内丘县内昔公路新城村南</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054200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陈东彩</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15930698066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赵顺忠</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陈东彩</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产品：工程机械变速箱、装载机变速箱及零部件、模具制造、精密铸造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eastAsia="宋体" w:cs="Times New Roman"/>
                <w:b/>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Times New Roman"/>
                <w:b/>
                <w:color w:val="000000"/>
                <w:szCs w:val="21"/>
              </w:rPr>
              <w:t>溶化（生铁、废钢、合金）→调节→浇包→浇注→破壳、落纱→机加→热处理→检测→包装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工程机械变速箱、装载机变速箱及零部件、模具制造、精密铸造所涉及场所的相关环境管理活动</w:t>
            </w:r>
          </w:p>
        </w:tc>
        <w:tc>
          <w:tcPr>
            <w:tcW w:w="2006" w:type="dxa"/>
            <w:gridSpan w:val="3"/>
            <w:vAlign w:val="center"/>
          </w:tcPr>
          <w:p>
            <w:pPr>
              <w:spacing w:line="400" w:lineRule="exact"/>
              <w:rPr>
                <w:rFonts w:ascii="宋体" w:hAnsi="宋体"/>
                <w:b/>
                <w:color w:val="000000"/>
                <w:szCs w:val="21"/>
              </w:rPr>
            </w:pPr>
            <w:r>
              <w:t>17.05.01;17.11.03;18.01.05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工程机械变速箱、装载机变速箱及零部件、模具制造、精密铸造所涉及场所的相关职业健康安全管理活动</w:t>
            </w:r>
          </w:p>
        </w:tc>
        <w:tc>
          <w:tcPr>
            <w:tcW w:w="2006" w:type="dxa"/>
            <w:gridSpan w:val="3"/>
            <w:vAlign w:val="center"/>
          </w:tcPr>
          <w:p>
            <w:pPr>
              <w:spacing w:line="400" w:lineRule="exact"/>
              <w:rPr>
                <w:rFonts w:ascii="宋体" w:hAnsi="宋体"/>
                <w:b/>
                <w:color w:val="000000"/>
                <w:szCs w:val="21"/>
              </w:rPr>
            </w:pPr>
            <w:r>
              <w:t>17.05.01;17.11.03;18.01.05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p>
            <w:pPr>
              <w:rPr>
                <w:rFonts w:hint="default" w:ascii="宋体" w:eastAsia="宋体"/>
                <w:color w:val="000000"/>
                <w:szCs w:val="21"/>
                <w:lang w:val="en-US" w:eastAsia="zh-CN"/>
              </w:rPr>
            </w:pPr>
            <w:r>
              <w:rPr>
                <w:rFonts w:hint="eastAsia" w:ascii="宋体"/>
                <w:color w:val="000000"/>
                <w:szCs w:val="21"/>
                <w:lang w:val="en-US" w:eastAsia="zh-CN"/>
              </w:rPr>
              <w:t>模具制造为铸造生产过程的一部分，未有产品销售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78"/>
        <w:gridCol w:w="562"/>
        <w:gridCol w:w="2766"/>
        <w:gridCol w:w="130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6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76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0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宋体"/>
                <w:b/>
                <w:color w:val="000000"/>
                <w:szCs w:val="21"/>
              </w:rPr>
            </w:pPr>
            <w:r>
              <w:rPr>
                <w:rFonts w:ascii="宋体"/>
                <w:b/>
                <w:color w:val="000000"/>
                <w:szCs w:val="21"/>
              </w:rPr>
              <w:t>邢台顺企机械有限公司</w:t>
            </w:r>
          </w:p>
          <w:p>
            <w:pPr>
              <w:spacing w:before="40" w:after="40"/>
              <w:rPr>
                <w:rFonts w:eastAsia="黑体"/>
                <w:szCs w:val="21"/>
                <w:lang w:val="de-DE" w:eastAsia="ja-JP"/>
              </w:rPr>
            </w:pPr>
            <w:r>
              <w:rPr>
                <w:rFonts w:ascii="宋体"/>
                <w:b/>
                <w:color w:val="000000"/>
                <w:szCs w:val="21"/>
              </w:rPr>
              <w:t>内丘县内昔公路新城村南</w:t>
            </w:r>
          </w:p>
        </w:tc>
        <w:tc>
          <w:tcPr>
            <w:tcW w:w="1678" w:type="dxa"/>
          </w:tcPr>
          <w:p>
            <w:pPr>
              <w:spacing w:before="40" w:after="40"/>
              <w:rPr>
                <w:rFonts w:eastAsia="黑体"/>
                <w:szCs w:val="21"/>
                <w:lang w:val="de-DE" w:eastAsia="ja-JP"/>
              </w:rPr>
            </w:pPr>
            <w:r>
              <w:rPr>
                <w:rFonts w:ascii="宋体"/>
                <w:b/>
                <w:color w:val="000000"/>
                <w:szCs w:val="21"/>
              </w:rPr>
              <w:t>内丘县内昔公路新城村南</w:t>
            </w:r>
          </w:p>
        </w:tc>
        <w:tc>
          <w:tcPr>
            <w:tcW w:w="562"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766" w:type="dxa"/>
            <w:vAlign w:val="center"/>
          </w:tcPr>
          <w:p>
            <w:bookmarkStart w:id="35" w:name="审核范围"/>
            <w:r>
              <w:t>E：工程机械变速箱、装载机变速箱及零部件、模具制造、精密铸造所涉及场所的相关环境管理活动</w:t>
            </w:r>
          </w:p>
          <w:p>
            <w:pPr>
              <w:pStyle w:val="19"/>
              <w:rPr>
                <w:rFonts w:eastAsia="黑体" w:cs="Arial"/>
                <w:sz w:val="21"/>
                <w:szCs w:val="21"/>
                <w:lang w:val="en-US" w:eastAsia="ja-JP"/>
              </w:rPr>
            </w:pPr>
            <w:r>
              <w:t>O：工程机械变速箱、装载机变速箱及零部件、模具制造、精密铸造所涉及场所的相关职业健康安全管理活动</w:t>
            </w:r>
            <w:bookmarkEnd w:id="35"/>
          </w:p>
        </w:tc>
        <w:tc>
          <w:tcPr>
            <w:tcW w:w="1304" w:type="dxa"/>
            <w:vAlign w:val="center"/>
          </w:tcPr>
          <w:p>
            <w:pPr>
              <w:spacing w:before="40" w:after="40"/>
              <w:rPr>
                <w:rFonts w:hint="eastAsia" w:ascii="宋体" w:hAnsi="宋体"/>
                <w:b/>
                <w:color w:val="000000"/>
                <w:szCs w:val="21"/>
                <w:lang w:val="de-DE"/>
              </w:rPr>
            </w:pPr>
            <w:r>
              <w:rPr>
                <w:rFonts w:hint="eastAsia" w:ascii="宋体" w:hAnsi="宋体"/>
                <w:b/>
                <w:color w:val="000000"/>
                <w:szCs w:val="21"/>
                <w:lang w:val="de-DE"/>
              </w:rPr>
              <w:t>GB/T24001-2016</w:t>
            </w:r>
          </w:p>
          <w:p>
            <w:pPr>
              <w:spacing w:before="40" w:after="40"/>
              <w:rPr>
                <w:rFonts w:hint="eastAsia" w:ascii="宋体" w:hAnsi="宋体"/>
                <w:b/>
                <w:color w:val="000000"/>
                <w:szCs w:val="21"/>
                <w:lang w:val="de-DE" w:eastAsia="ja-JP"/>
              </w:rPr>
            </w:pPr>
            <w:r>
              <w:rPr>
                <w:rFonts w:hint="eastAsia" w:ascii="宋体" w:hAnsi="宋体"/>
                <w:b/>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678" w:type="dxa"/>
            <w:vAlign w:val="center"/>
          </w:tcPr>
          <w:p>
            <w:pPr>
              <w:spacing w:before="40" w:after="40"/>
              <w:rPr>
                <w:rFonts w:eastAsia="黑体"/>
                <w:szCs w:val="21"/>
                <w:lang w:eastAsia="ja-JP"/>
              </w:rPr>
            </w:pPr>
          </w:p>
        </w:tc>
        <w:tc>
          <w:tcPr>
            <w:tcW w:w="562" w:type="dxa"/>
            <w:vAlign w:val="center"/>
          </w:tcPr>
          <w:p>
            <w:pPr>
              <w:spacing w:before="40" w:after="40"/>
              <w:rPr>
                <w:rFonts w:eastAsia="黑体"/>
                <w:szCs w:val="21"/>
                <w:lang w:eastAsia="ja-JP"/>
              </w:rPr>
            </w:pPr>
          </w:p>
        </w:tc>
        <w:tc>
          <w:tcPr>
            <w:tcW w:w="2766" w:type="dxa"/>
            <w:vAlign w:val="center"/>
          </w:tcPr>
          <w:p>
            <w:pPr>
              <w:spacing w:before="40" w:after="40"/>
              <w:rPr>
                <w:rFonts w:eastAsia="黑体"/>
                <w:szCs w:val="21"/>
                <w:lang w:eastAsia="ja-JP"/>
              </w:rPr>
            </w:pPr>
          </w:p>
        </w:tc>
        <w:tc>
          <w:tcPr>
            <w:tcW w:w="130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678" w:type="dxa"/>
            <w:vAlign w:val="center"/>
          </w:tcPr>
          <w:p>
            <w:pPr>
              <w:spacing w:before="40" w:after="40"/>
              <w:rPr>
                <w:rFonts w:eastAsia="黑体"/>
                <w:szCs w:val="21"/>
                <w:lang w:eastAsia="ja-JP"/>
              </w:rPr>
            </w:pPr>
          </w:p>
        </w:tc>
        <w:tc>
          <w:tcPr>
            <w:tcW w:w="562" w:type="dxa"/>
            <w:vAlign w:val="center"/>
          </w:tcPr>
          <w:p>
            <w:pPr>
              <w:spacing w:before="40" w:after="40"/>
              <w:rPr>
                <w:rFonts w:eastAsia="黑体"/>
                <w:szCs w:val="21"/>
                <w:lang w:eastAsia="ja-JP"/>
              </w:rPr>
            </w:pPr>
          </w:p>
        </w:tc>
        <w:tc>
          <w:tcPr>
            <w:tcW w:w="2766" w:type="dxa"/>
            <w:vAlign w:val="center"/>
          </w:tcPr>
          <w:p>
            <w:pPr>
              <w:spacing w:before="40" w:after="40"/>
              <w:rPr>
                <w:rFonts w:eastAsia="黑体"/>
                <w:szCs w:val="21"/>
                <w:lang w:eastAsia="ja-JP"/>
              </w:rPr>
            </w:pPr>
          </w:p>
        </w:tc>
        <w:tc>
          <w:tcPr>
            <w:tcW w:w="130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678" w:type="dxa"/>
            <w:vAlign w:val="center"/>
          </w:tcPr>
          <w:p>
            <w:pPr>
              <w:spacing w:before="40" w:after="40"/>
              <w:rPr>
                <w:rFonts w:eastAsia="黑体"/>
                <w:szCs w:val="21"/>
                <w:lang w:eastAsia="ja-JP"/>
              </w:rPr>
            </w:pPr>
          </w:p>
        </w:tc>
        <w:tc>
          <w:tcPr>
            <w:tcW w:w="562" w:type="dxa"/>
            <w:vAlign w:val="center"/>
          </w:tcPr>
          <w:p>
            <w:pPr>
              <w:spacing w:before="40" w:after="40"/>
              <w:rPr>
                <w:rFonts w:eastAsia="黑体"/>
                <w:szCs w:val="21"/>
                <w:lang w:eastAsia="ja-JP"/>
              </w:rPr>
            </w:pPr>
          </w:p>
        </w:tc>
        <w:tc>
          <w:tcPr>
            <w:tcW w:w="2766" w:type="dxa"/>
            <w:vAlign w:val="center"/>
          </w:tcPr>
          <w:p>
            <w:pPr>
              <w:spacing w:before="40" w:after="40"/>
              <w:rPr>
                <w:rFonts w:eastAsia="黑体"/>
                <w:szCs w:val="21"/>
                <w:lang w:eastAsia="ja-JP"/>
              </w:rPr>
            </w:pPr>
          </w:p>
        </w:tc>
        <w:tc>
          <w:tcPr>
            <w:tcW w:w="130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678" w:type="dxa"/>
            <w:vAlign w:val="center"/>
          </w:tcPr>
          <w:p>
            <w:pPr>
              <w:spacing w:before="40" w:after="40"/>
              <w:rPr>
                <w:rFonts w:eastAsia="黑体"/>
                <w:szCs w:val="21"/>
                <w:lang w:eastAsia="ja-JP"/>
              </w:rPr>
            </w:pPr>
          </w:p>
        </w:tc>
        <w:tc>
          <w:tcPr>
            <w:tcW w:w="562" w:type="dxa"/>
            <w:vAlign w:val="center"/>
          </w:tcPr>
          <w:p>
            <w:pPr>
              <w:spacing w:before="40" w:after="40"/>
              <w:rPr>
                <w:rFonts w:eastAsia="黑体"/>
                <w:szCs w:val="21"/>
                <w:lang w:eastAsia="ja-JP"/>
              </w:rPr>
            </w:pPr>
          </w:p>
        </w:tc>
        <w:tc>
          <w:tcPr>
            <w:tcW w:w="2766" w:type="dxa"/>
            <w:vAlign w:val="center"/>
          </w:tcPr>
          <w:p>
            <w:pPr>
              <w:spacing w:before="40" w:after="40"/>
              <w:rPr>
                <w:rFonts w:eastAsia="黑体"/>
                <w:szCs w:val="21"/>
                <w:lang w:eastAsia="ja-JP"/>
              </w:rPr>
            </w:pPr>
          </w:p>
        </w:tc>
        <w:tc>
          <w:tcPr>
            <w:tcW w:w="130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2021 年  7 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 xml:space="preserve">11.已根据策划和标准要求于 </w:t>
            </w:r>
            <w:r>
              <w:rPr>
                <w:rFonts w:hint="eastAsia" w:ascii="宋体" w:hAnsi="宋体"/>
                <w:b/>
                <w:color w:val="000000"/>
                <w:szCs w:val="21"/>
                <w:u w:val="single"/>
              </w:rPr>
              <w:t xml:space="preserve"> 2021 </w:t>
            </w:r>
            <w:r>
              <w:rPr>
                <w:rFonts w:hint="eastAsia" w:ascii="宋体" w:hAnsi="宋体"/>
                <w:b/>
                <w:color w:val="000000"/>
                <w:szCs w:val="21"/>
              </w:rPr>
              <w:t xml:space="preserve"> 年 </w:t>
            </w:r>
            <w:r>
              <w:rPr>
                <w:rFonts w:hint="eastAsia" w:ascii="宋体" w:hAnsi="宋体"/>
                <w:b/>
                <w:color w:val="000000"/>
                <w:szCs w:val="21"/>
                <w:u w:val="single"/>
              </w:rPr>
              <w:t xml:space="preserve">10 </w:t>
            </w:r>
            <w:r>
              <w:rPr>
                <w:rFonts w:hint="eastAsia" w:ascii="宋体" w:hAnsi="宋体"/>
                <w:b/>
                <w:color w:val="000000"/>
                <w:szCs w:val="21"/>
              </w:rPr>
              <w:t xml:space="preserve">月  </w:t>
            </w:r>
            <w:r>
              <w:rPr>
                <w:rFonts w:hint="eastAsia" w:ascii="宋体" w:hAnsi="宋体"/>
                <w:b/>
                <w:color w:val="000000"/>
                <w:szCs w:val="21"/>
                <w:u w:val="single"/>
              </w:rPr>
              <w:t xml:space="preserve">17- 18 </w:t>
            </w:r>
            <w:r>
              <w:rPr>
                <w:rFonts w:hint="eastAsia" w:ascii="宋体" w:hAnsi="宋体"/>
                <w:b/>
                <w:color w:val="000000"/>
                <w:szCs w:val="21"/>
              </w:rPr>
              <w:t>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color w:val="000000"/>
                <w:szCs w:val="18"/>
                <w:u w:val="single"/>
              </w:rPr>
              <w:t xml:space="preserve">  </w:t>
            </w:r>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1</w:t>
            </w:r>
            <w:r>
              <w:rPr>
                <w:rFonts w:hint="eastAsia"/>
                <w:color w:val="000000"/>
                <w:szCs w:val="18"/>
                <w:u w:val="single"/>
                <w:lang w:val="en-US" w:eastAsia="zh-CN"/>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10</w:t>
            </w:r>
            <w:r>
              <w:rPr>
                <w:color w:val="000000"/>
                <w:szCs w:val="18"/>
                <w:u w:val="single"/>
              </w:rPr>
              <w:t xml:space="preserve">  </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2022-02-</w:t>
            </w:r>
            <w:bookmarkEnd w:id="36"/>
            <w:r>
              <w:rPr>
                <w:rFonts w:hint="eastAsia" w:ascii="宋体"/>
                <w:b/>
                <w:color w:val="000000"/>
                <w:szCs w:val="21"/>
                <w:lang w:val="en-US" w:eastAsia="zh-CN"/>
              </w:rPr>
              <w:t>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rPr>
              <w:t>工程机械和叉车机械配件、变速箱壳体的铸造</w:t>
            </w:r>
            <w:r>
              <w:t>所涉及场所的相关环境管理活动</w:t>
            </w:r>
            <w:r>
              <w:rPr>
                <w:rFonts w:hint="eastAsia"/>
              </w:rPr>
              <w:t>。</w:t>
            </w:r>
          </w:p>
        </w:tc>
        <w:tc>
          <w:tcPr>
            <w:tcW w:w="1541" w:type="dxa"/>
            <w:vAlign w:val="center"/>
          </w:tcPr>
          <w:p>
            <w:pPr>
              <w:spacing w:line="400" w:lineRule="exact"/>
              <w:rPr>
                <w:rFonts w:ascii="宋体" w:hAnsi="宋体"/>
                <w:b/>
                <w:color w:val="000000"/>
                <w:szCs w:val="21"/>
              </w:rPr>
            </w:pPr>
            <w:r>
              <w:t>17.05.01;17.11.03;18.01.05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rPr>
              <w:t>工程机械和叉车机械配件、变速箱壳体的铸造</w:t>
            </w:r>
            <w:r>
              <w:t>所涉及场所的相关职业健康安全管理活动</w:t>
            </w:r>
            <w:r>
              <w:rPr>
                <w:rFonts w:hint="eastAsia"/>
              </w:rPr>
              <w:t>。</w:t>
            </w:r>
          </w:p>
        </w:tc>
        <w:tc>
          <w:tcPr>
            <w:tcW w:w="1541" w:type="dxa"/>
            <w:vAlign w:val="center"/>
          </w:tcPr>
          <w:p>
            <w:pPr>
              <w:spacing w:line="400" w:lineRule="exact"/>
              <w:rPr>
                <w:rFonts w:ascii="宋体" w:hAnsi="宋体"/>
                <w:b/>
                <w:color w:val="000000"/>
                <w:szCs w:val="21"/>
              </w:rPr>
            </w:pPr>
            <w:r>
              <w:t>17.05.01;17.11.03;18.01.05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hint="eastAsia" w:ascii="宋体" w:eastAsia="宋体"/>
          <w:b/>
          <w:color w:val="000000"/>
          <w:szCs w:val="21"/>
          <w:lang w:eastAsia="zh-CN"/>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1866900</wp:posOffset>
            </wp:positionH>
            <wp:positionV relativeFrom="paragraph">
              <wp:posOffset>36830</wp:posOffset>
            </wp:positionV>
            <wp:extent cx="448310" cy="344170"/>
            <wp:effectExtent l="0" t="0" r="8890" b="1143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48310" cy="344170"/>
                    </a:xfrm>
                    <a:prstGeom prst="rect">
                      <a:avLst/>
                    </a:prstGeom>
                  </pic:spPr>
                </pic:pic>
              </a:graphicData>
            </a:graphic>
          </wp:anchor>
        </w:drawing>
      </w:r>
      <w:r>
        <w:rPr>
          <w:rFonts w:hint="eastAsia" w:asci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4733290</wp:posOffset>
            </wp:positionH>
            <wp:positionV relativeFrom="paragraph">
              <wp:posOffset>2540</wp:posOffset>
            </wp:positionV>
            <wp:extent cx="714375" cy="325120"/>
            <wp:effectExtent l="0" t="0" r="9525" b="5080"/>
            <wp:wrapNone/>
            <wp:docPr id="2" name="图片 2" descr="22ca9845196181ee1cf6e9347f1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ca9845196181ee1cf6e9347f13045"/>
                    <pic:cNvPicPr>
                      <a:picLocks noChangeAspect="1"/>
                    </pic:cNvPicPr>
                  </pic:nvPicPr>
                  <pic:blipFill>
                    <a:blip r:embed="rId7"/>
                    <a:srcRect t="19948" r="6471" b="2448"/>
                    <a:stretch>
                      <a:fillRect/>
                    </a:stretch>
                  </pic:blipFill>
                  <pic:spPr>
                    <a:xfrm>
                      <a:off x="0" y="0"/>
                      <a:ext cx="714375" cy="3251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rPr>
          <w:rFonts w:hint="eastAsia" w:ascii="宋体" w:hAnsi="宋体"/>
          <w:b/>
          <w:color w:val="000000"/>
          <w:szCs w:val="21"/>
        </w:rPr>
      </w:pPr>
    </w:p>
    <w:p>
      <w:pPr>
        <w:ind w:firstLine="843" w:firstLineChars="400"/>
        <w:rPr>
          <w:rFonts w:hint="eastAsia" w:ascii="宋体" w:hAnsi="宋体"/>
          <w:b/>
          <w:color w:val="000000"/>
          <w:szCs w:val="21"/>
        </w:rPr>
      </w:pP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 xml:space="preserve">2022年02月19日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vertAlign w:val="baseline"/>
                <w:lang w:val="en-US" w:eastAsia="zh-CN"/>
              </w:rPr>
              <w:drawing>
                <wp:anchor distT="0" distB="0" distL="114300" distR="114300" simplePos="0" relativeHeight="251664384" behindDoc="0" locked="0" layoutInCell="1" allowOverlap="1">
                  <wp:simplePos x="0" y="0"/>
                  <wp:positionH relativeFrom="column">
                    <wp:posOffset>699770</wp:posOffset>
                  </wp:positionH>
                  <wp:positionV relativeFrom="paragraph">
                    <wp:posOffset>1270</wp:posOffset>
                  </wp:positionV>
                  <wp:extent cx="438785" cy="337185"/>
                  <wp:effectExtent l="0" t="0" r="5715" b="571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38785" cy="33718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 xml:space="preserve"> 2 </w:t>
            </w:r>
            <w:r>
              <w:rPr>
                <w:rFonts w:hint="eastAsia"/>
                <w:b/>
                <w:color w:val="000000"/>
                <w:szCs w:val="21"/>
              </w:rPr>
              <w:t>月</w:t>
            </w:r>
            <w:r>
              <w:rPr>
                <w:rFonts w:hint="eastAsia"/>
                <w:b/>
                <w:color w:val="000000"/>
                <w:szCs w:val="21"/>
                <w:lang w:val="en-US" w:eastAsia="zh-CN"/>
              </w:rPr>
              <w:t xml:space="preserve"> 19 </w:t>
            </w:r>
            <w:r>
              <w:rPr>
                <w:rFonts w:hint="eastAsia"/>
                <w:b/>
                <w:color w:val="000000"/>
                <w:szCs w:val="21"/>
              </w:rPr>
              <w:t>日</w:t>
            </w:r>
          </w:p>
        </w:tc>
        <w:tc>
          <w:tcPr>
            <w:tcW w:w="5392" w:type="dxa"/>
            <w:gridSpan w:val="4"/>
          </w:tcPr>
          <w:p>
            <w:pPr>
              <w:spacing w:line="280" w:lineRule="exact"/>
              <w:rPr>
                <w:b/>
                <w:color w:val="000000"/>
                <w:szCs w:val="21"/>
              </w:rPr>
            </w:pPr>
            <w:r>
              <w:drawing>
                <wp:anchor distT="0" distB="0" distL="114300" distR="114300" simplePos="0" relativeHeight="251663360" behindDoc="0" locked="0" layoutInCell="1" allowOverlap="1">
                  <wp:simplePos x="0" y="0"/>
                  <wp:positionH relativeFrom="column">
                    <wp:posOffset>1039495</wp:posOffset>
                  </wp:positionH>
                  <wp:positionV relativeFrom="paragraph">
                    <wp:posOffset>63500</wp:posOffset>
                  </wp:positionV>
                  <wp:extent cx="645795" cy="327025"/>
                  <wp:effectExtent l="0" t="0" r="1905" b="317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rcRect l="3530" t="2361" r="10590" b="15514"/>
                          <a:stretch>
                            <a:fillRect/>
                          </a:stretch>
                        </pic:blipFill>
                        <pic:spPr>
                          <a:xfrm>
                            <a:off x="0" y="0"/>
                            <a:ext cx="645795" cy="327025"/>
                          </a:xfrm>
                          <a:prstGeom prst="rect">
                            <a:avLst/>
                          </a:prstGeom>
                          <a:noFill/>
                          <a:ln>
                            <a:noFill/>
                          </a:ln>
                        </pic:spPr>
                      </pic:pic>
                    </a:graphicData>
                  </a:graphic>
                </wp:anchor>
              </w:drawing>
            </w:r>
            <w:r>
              <w:rPr>
                <w:rFonts w:hint="eastAsia"/>
                <w:b/>
                <w:color w:val="000000"/>
                <w:szCs w:val="21"/>
              </w:rPr>
              <w:t>受审核方代表</w:t>
            </w:r>
          </w:p>
          <w:p>
            <w:pPr>
              <w:spacing w:line="280" w:lineRule="exact"/>
              <w:rPr>
                <w:rFonts w:hint="eastAsia" w:eastAsia="宋体"/>
                <w:b/>
                <w:color w:val="000000"/>
                <w:szCs w:val="21"/>
                <w:lang w:val="en-US" w:eastAsia="zh-CN"/>
              </w:rPr>
            </w:pPr>
            <w:r>
              <w:rPr>
                <w:rFonts w:hint="eastAsia"/>
                <w:b/>
                <w:color w:val="000000"/>
                <w:szCs w:val="21"/>
                <w:lang w:val="en-US" w:eastAsia="zh-CN"/>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   </w:t>
            </w:r>
            <w:r>
              <w:rPr>
                <w:rFonts w:hint="eastAsia"/>
                <w:b/>
                <w:color w:val="000000"/>
                <w:szCs w:val="21"/>
              </w:rPr>
              <w:t>年</w:t>
            </w:r>
            <w:r>
              <w:rPr>
                <w:rFonts w:hint="eastAsia"/>
                <w:b/>
                <w:color w:val="000000"/>
                <w:szCs w:val="21"/>
                <w:lang w:val="en-US" w:eastAsia="zh-CN"/>
              </w:rPr>
              <w:t xml:space="preserve">  2  </w:t>
            </w:r>
            <w:r>
              <w:rPr>
                <w:rFonts w:hint="eastAsia"/>
                <w:b/>
                <w:color w:val="000000"/>
                <w:szCs w:val="21"/>
              </w:rPr>
              <w:t>月</w:t>
            </w:r>
            <w:r>
              <w:rPr>
                <w:rFonts w:hint="eastAsia"/>
                <w:b/>
                <w:color w:val="000000"/>
                <w:szCs w:val="21"/>
                <w:lang w:val="en-US" w:eastAsia="zh-CN"/>
              </w:rPr>
              <w:t xml:space="preserve">  19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w:t>
            </w:r>
            <w:bookmarkStart w:id="37" w:name="_GoBack"/>
            <w:bookmarkEnd w:id="37"/>
            <w:r>
              <w:rPr>
                <w:rFonts w:hint="eastAsia" w:ascii="宋体" w:hAnsi="宋体"/>
                <w:b/>
                <w:bCs/>
                <w:color w:val="000000"/>
                <w:spacing w:val="-8"/>
                <w:szCs w:val="21"/>
              </w:rPr>
              <w:t>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vertAlign w:val="baseline"/>
                <w:lang w:val="en-US" w:eastAsia="zh-CN"/>
              </w:rPr>
              <w:drawing>
                <wp:anchor distT="0" distB="0" distL="114300" distR="114300" simplePos="0" relativeHeight="251665408" behindDoc="0" locked="0" layoutInCell="1" allowOverlap="1">
                  <wp:simplePos x="0" y="0"/>
                  <wp:positionH relativeFrom="column">
                    <wp:posOffset>2293620</wp:posOffset>
                  </wp:positionH>
                  <wp:positionV relativeFrom="paragraph">
                    <wp:posOffset>81915</wp:posOffset>
                  </wp:positionV>
                  <wp:extent cx="325755" cy="250190"/>
                  <wp:effectExtent l="0" t="0" r="4445" b="3810"/>
                  <wp:wrapNone/>
                  <wp:docPr id="5" name="图片 5"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77475f2d71659eed95b546a81c2d41"/>
                          <pic:cNvPicPr>
                            <a:picLocks noChangeAspect="1"/>
                          </pic:cNvPicPr>
                        </pic:nvPicPr>
                        <pic:blipFill>
                          <a:blip r:embed="rId6"/>
                          <a:stretch>
                            <a:fillRect/>
                          </a:stretch>
                        </pic:blipFill>
                        <pic:spPr>
                          <a:xfrm>
                            <a:off x="0" y="0"/>
                            <a:ext cx="325755" cy="250190"/>
                          </a:xfrm>
                          <a:prstGeom prst="rect">
                            <a:avLst/>
                          </a:prstGeom>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 xml:space="preserve"> 2 </w:t>
            </w:r>
            <w:r>
              <w:rPr>
                <w:rFonts w:hint="eastAsia"/>
                <w:b/>
                <w:color w:val="000000"/>
                <w:szCs w:val="21"/>
              </w:rPr>
              <w:t>月</w:t>
            </w:r>
            <w:r>
              <w:rPr>
                <w:rFonts w:hint="eastAsia"/>
                <w:b/>
                <w:color w:val="000000"/>
                <w:szCs w:val="21"/>
                <w:lang w:val="en-US" w:eastAsia="zh-CN"/>
              </w:rPr>
              <w:t xml:space="preserve"> 19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4F121A"/>
    <w:rsid w:val="1435480E"/>
    <w:rsid w:val="25D419BB"/>
    <w:rsid w:val="277B72AC"/>
    <w:rsid w:val="54CB1550"/>
    <w:rsid w:val="654A3948"/>
    <w:rsid w:val="6E2F3C06"/>
    <w:rsid w:val="74A42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7874</Words>
  <Characters>8686</Characters>
  <Lines>67</Lines>
  <Paragraphs>18</Paragraphs>
  <TotalTime>0</TotalTime>
  <ScaleCrop>false</ScaleCrop>
  <LinksUpToDate>false</LinksUpToDate>
  <CharactersWithSpaces>8753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2022-03-15T15:47:15Z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