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r>
        <w:rPr>
          <w:rFonts w:hint="eastAsia" w:eastAsia="宋体"/>
          <w:b w:val="0"/>
          <w:bCs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-554990</wp:posOffset>
            </wp:positionH>
            <wp:positionV relativeFrom="paragraph">
              <wp:posOffset>-1017905</wp:posOffset>
            </wp:positionV>
            <wp:extent cx="7343775" cy="10478135"/>
            <wp:effectExtent l="0" t="0" r="9525" b="12065"/>
            <wp:wrapNone/>
            <wp:docPr id="1" name="图片 1" descr="CCI_000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_0002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047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162"/>
        <w:gridCol w:w="533"/>
        <w:gridCol w:w="1278"/>
        <w:gridCol w:w="16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984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723" w:firstLineChars="300"/>
              <w:jc w:val="both"/>
              <w:rPr>
                <w:b/>
                <w:sz w:val="20"/>
              </w:rPr>
            </w:pPr>
            <w:bookmarkStart w:id="0" w:name="组织名称"/>
            <w:r>
              <w:rPr>
                <w:rFonts w:hint="eastAsia"/>
                <w:b/>
                <w:szCs w:val="21"/>
              </w:rPr>
              <w:t>邢台顺企机械有限公司</w:t>
            </w:r>
            <w:bookmarkEnd w:id="0"/>
          </w:p>
        </w:tc>
        <w:tc>
          <w:tcPr>
            <w:tcW w:w="18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2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17.05.01;17.11.03;18.01.05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17.05.01;17.11.03;18.01.05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2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溶化（生铁、废钢、合金）→调节→浇包→浇注→破壳、落纱→机加→热处理→检测→包装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重大环境因素：火灾，粉尘排放，固废排放；噪声排放；废水排放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控制措施：集中收集外售至废品回收站；选用低噪声设备，合理布局，隔声减震，厂房隔音；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设备、电路定期检修、不定期检查，提高安全意识；做好火灾预防措施。一旦发生按相关应急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GB/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0"/>
              </w:rPr>
              <w:t>T9439-2010《灰铸铁件》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GB/T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0"/>
              </w:rPr>
              <w:t>6414-2017铸件尺寸公差与机械加工余量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GB/T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0"/>
              </w:rPr>
              <w:t>036.2-1992冶金设备制造通用技术条件铸铁件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环保法、消防法、大气污染防治法、固体废弃物污染环境保护法等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编号：</w:t>
            </w:r>
            <w:r>
              <w:rPr>
                <w:rFonts w:hint="eastAsia"/>
                <w:b w:val="0"/>
                <w:bCs/>
                <w:sz w:val="20"/>
              </w:rPr>
              <w:t>绿晨测字WT202112-058号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《检测报告》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铸造工艺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/>
          <w:b w:val="0"/>
          <w:bCs/>
          <w:sz w:val="20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-649605</wp:posOffset>
            </wp:positionH>
            <wp:positionV relativeFrom="paragraph">
              <wp:posOffset>-1074420</wp:posOffset>
            </wp:positionV>
            <wp:extent cx="7428230" cy="10598785"/>
            <wp:effectExtent l="0" t="0" r="1270" b="5715"/>
            <wp:wrapNone/>
            <wp:docPr id="3" name="图片 3" descr="CCI_000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I_0002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8230" cy="1059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95"/>
        <w:gridCol w:w="1338"/>
        <w:gridCol w:w="174"/>
        <w:gridCol w:w="1377"/>
        <w:gridCol w:w="1243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723" w:firstLineChars="30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邢台顺企机械有限公司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t>17.05.01;17.11.03;18.01.05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17.05.01;17.11.03;18.01.05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溶化（生铁、废钢、合金）→调节→浇包→浇注→破壳、落纱→机加→热处理→检测→包装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不可接受风险：火灾、粉尘伤害、噪声伤害；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重大环境因素：火灾，废气排放，噪声排放、固废排放；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中华人民共和国环保法、固体废物污染环境防治法、大气污染环境防治法，中华人民共和国安全生产法、劳动法、职业病防治法， 袋式除尘系统装置通用技术条件GB/T 32155-2015 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06432BD"/>
    <w:rsid w:val="05DA73C3"/>
    <w:rsid w:val="111612F9"/>
    <w:rsid w:val="25BF7FE0"/>
    <w:rsid w:val="290D5920"/>
    <w:rsid w:val="362E2479"/>
    <w:rsid w:val="4E1A74FF"/>
    <w:rsid w:val="689478DF"/>
    <w:rsid w:val="7D6066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locked/>
    <w:uiPriority w:val="22"/>
    <w:rPr>
      <w:b/>
      <w:bCs/>
    </w:rPr>
  </w:style>
  <w:style w:type="character" w:styleId="8">
    <w:name w:val="Emphasis"/>
    <w:basedOn w:val="6"/>
    <w:qFormat/>
    <w:locked/>
    <w:uiPriority w:val="20"/>
    <w:rPr>
      <w:i/>
      <w:iCs/>
    </w:rPr>
  </w:style>
  <w:style w:type="character" w:customStyle="1" w:styleId="9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937</Words>
  <Characters>1132</Characters>
  <Lines>2</Lines>
  <Paragraphs>1</Paragraphs>
  <TotalTime>5</TotalTime>
  <ScaleCrop>false</ScaleCrop>
  <LinksUpToDate>false</LinksUpToDate>
  <CharactersWithSpaces>1140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2022-03-13T18:11:12Z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