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0054-2022-Q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重庆天巨承机械制造有限责任公司</w:t>
      </w:r>
      <w:bookmarkEnd w:id="1"/>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r>
        <w:rPr>
          <w:rFonts w:hint="eastAsia"/>
        </w:rPr>
        <w:t>一、受审核方基本信息</w:t>
      </w:r>
    </w:p>
    <w:tbl>
      <w:tblPr>
        <w:tblStyle w:val="8"/>
        <w:tblW w:w="10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940"/>
        <w:gridCol w:w="1313"/>
        <w:gridCol w:w="2180"/>
        <w:gridCol w:w="1242"/>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15" w:type="dxa"/>
            <w:vAlign w:val="center"/>
          </w:tcPr>
          <w:p>
            <w:r>
              <w:rPr>
                <w:rFonts w:hint="eastAsia"/>
              </w:rPr>
              <w:t>受审核方名称</w:t>
            </w:r>
          </w:p>
        </w:tc>
        <w:tc>
          <w:tcPr>
            <w:tcW w:w="9372" w:type="dxa"/>
            <w:gridSpan w:val="5"/>
          </w:tcPr>
          <w:p>
            <w:bookmarkStart w:id="5" w:name="组织名称Add1"/>
            <w:r>
              <w:t>重庆天巨承机械制造有限责任公司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515" w:type="dxa"/>
            <w:vAlign w:val="center"/>
          </w:tcPr>
          <w:p>
            <w:r>
              <w:rPr>
                <w:rFonts w:hint="eastAsia"/>
              </w:rPr>
              <w:t>注册地址</w:t>
            </w:r>
          </w:p>
        </w:tc>
        <w:tc>
          <w:tcPr>
            <w:tcW w:w="5433" w:type="dxa"/>
            <w:gridSpan w:val="3"/>
          </w:tcPr>
          <w:p>
            <w:bookmarkStart w:id="6" w:name="注册地址"/>
            <w:r>
              <w:t>重庆市北碚区天府镇后丰岩225号</w:t>
            </w:r>
            <w:bookmarkEnd w:id="6"/>
          </w:p>
        </w:tc>
        <w:tc>
          <w:tcPr>
            <w:tcW w:w="1242" w:type="dxa"/>
            <w:vMerge w:val="restart"/>
            <w:vAlign w:val="center"/>
          </w:tcPr>
          <w:p>
            <w:r>
              <w:rPr>
                <w:rFonts w:hint="eastAsia"/>
              </w:rPr>
              <w:t>邮编</w:t>
            </w:r>
          </w:p>
        </w:tc>
        <w:tc>
          <w:tcPr>
            <w:tcW w:w="2697" w:type="dxa"/>
          </w:tcPr>
          <w:p>
            <w:bookmarkStart w:id="7" w:name="注册邮编"/>
            <w:r>
              <w:t>400704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15" w:type="dxa"/>
            <w:vAlign w:val="center"/>
          </w:tcPr>
          <w:p>
            <w:r>
              <w:rPr>
                <w:rFonts w:hint="eastAsia"/>
              </w:rPr>
              <w:t>经营地址</w:t>
            </w:r>
          </w:p>
        </w:tc>
        <w:tc>
          <w:tcPr>
            <w:tcW w:w="5433" w:type="dxa"/>
            <w:gridSpan w:val="3"/>
          </w:tcPr>
          <w:p>
            <w:bookmarkStart w:id="8" w:name="生产地址"/>
            <w:r>
              <w:t>重庆市北碚区天府镇后丰岩225号</w:t>
            </w:r>
            <w:bookmarkEnd w:id="8"/>
          </w:p>
        </w:tc>
        <w:tc>
          <w:tcPr>
            <w:tcW w:w="1242" w:type="dxa"/>
            <w:vMerge w:val="continue"/>
            <w:vAlign w:val="center"/>
          </w:tcPr>
          <w:p/>
        </w:tc>
        <w:tc>
          <w:tcPr>
            <w:tcW w:w="2697" w:type="dxa"/>
          </w:tcPr>
          <w:p>
            <w:bookmarkStart w:id="9" w:name="办公邮编"/>
            <w:r>
              <w:t>400704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5" w:type="dxa"/>
            <w:vAlign w:val="center"/>
          </w:tcPr>
          <w:p>
            <w:r>
              <w:rPr>
                <w:rFonts w:hint="eastAsia"/>
              </w:rPr>
              <w:t>联系人</w:t>
            </w:r>
          </w:p>
        </w:tc>
        <w:tc>
          <w:tcPr>
            <w:tcW w:w="1940" w:type="dxa"/>
          </w:tcPr>
          <w:p>
            <w:bookmarkStart w:id="10" w:name="联系人"/>
            <w:r>
              <w:t>马江涛</w:t>
            </w:r>
            <w:bookmarkEnd w:id="10"/>
          </w:p>
        </w:tc>
        <w:tc>
          <w:tcPr>
            <w:tcW w:w="1313" w:type="dxa"/>
            <w:vAlign w:val="center"/>
          </w:tcPr>
          <w:p>
            <w:r>
              <w:rPr>
                <w:rFonts w:hint="eastAsia"/>
              </w:rPr>
              <w:t>电话.</w:t>
            </w:r>
          </w:p>
        </w:tc>
        <w:tc>
          <w:tcPr>
            <w:tcW w:w="2180" w:type="dxa"/>
            <w:vAlign w:val="center"/>
          </w:tcPr>
          <w:p>
            <w:bookmarkStart w:id="11" w:name="联系人电话"/>
            <w:r>
              <w:t>13883005041</w:t>
            </w:r>
            <w:bookmarkEnd w:id="11"/>
          </w:p>
        </w:tc>
        <w:tc>
          <w:tcPr>
            <w:tcW w:w="1242" w:type="dxa"/>
            <w:vAlign w:val="center"/>
          </w:tcPr>
          <w:p>
            <w:r>
              <w:rPr>
                <w:rFonts w:hint="eastAsia"/>
              </w:rPr>
              <w:t>传真</w:t>
            </w:r>
          </w:p>
        </w:tc>
        <w:tc>
          <w:tcPr>
            <w:tcW w:w="2697"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vAlign w:val="center"/>
          </w:tcPr>
          <w:p>
            <w:r>
              <w:rPr>
                <w:rFonts w:hint="eastAsia"/>
              </w:rPr>
              <w:t>法人代表</w:t>
            </w:r>
          </w:p>
        </w:tc>
        <w:tc>
          <w:tcPr>
            <w:tcW w:w="1940" w:type="dxa"/>
          </w:tcPr>
          <w:p>
            <w:bookmarkStart w:id="13" w:name="法人"/>
            <w:r>
              <w:t>王洁</w:t>
            </w:r>
            <w:bookmarkEnd w:id="13"/>
          </w:p>
        </w:tc>
        <w:tc>
          <w:tcPr>
            <w:tcW w:w="1313" w:type="dxa"/>
            <w:vAlign w:val="center"/>
          </w:tcPr>
          <w:p>
            <w:r>
              <w:rPr>
                <w:rFonts w:hint="eastAsia"/>
              </w:rPr>
              <w:t>管理者代表</w:t>
            </w:r>
          </w:p>
        </w:tc>
        <w:tc>
          <w:tcPr>
            <w:tcW w:w="2180" w:type="dxa"/>
          </w:tcPr>
          <w:p>
            <w:bookmarkStart w:id="14" w:name="管理者代表"/>
            <w:r>
              <w:t>王强</w:t>
            </w:r>
            <w:bookmarkEnd w:id="14"/>
          </w:p>
        </w:tc>
        <w:tc>
          <w:tcPr>
            <w:tcW w:w="1242" w:type="dxa"/>
          </w:tcPr>
          <w:p>
            <w:r>
              <w:rPr>
                <w:rFonts w:hint="eastAsia"/>
              </w:rPr>
              <w:t>邮箱</w:t>
            </w:r>
          </w:p>
        </w:tc>
        <w:tc>
          <w:tcPr>
            <w:tcW w:w="269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15" w:type="dxa"/>
            <w:shd w:val="clear" w:color="auto" w:fill="auto"/>
          </w:tcPr>
          <w:p>
            <w:r>
              <w:rPr>
                <w:rFonts w:hint="eastAsia"/>
              </w:rPr>
              <w:t>多班次说明</w:t>
            </w:r>
          </w:p>
        </w:tc>
        <w:tc>
          <w:tcPr>
            <w:tcW w:w="9372"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88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15" w:type="dxa"/>
            <w:shd w:val="clear" w:color="auto" w:fill="auto"/>
          </w:tcPr>
          <w:p>
            <w:r>
              <w:rPr>
                <w:rFonts w:hint="eastAsia"/>
              </w:rPr>
              <w:t>生产/服务提供流程简图</w:t>
            </w:r>
          </w:p>
          <w:p/>
          <w:p/>
        </w:tc>
        <w:tc>
          <w:tcPr>
            <w:tcW w:w="9372" w:type="dxa"/>
            <w:gridSpan w:val="5"/>
            <w:shd w:val="clear" w:color="auto" w:fill="auto"/>
          </w:tcPr>
          <w:tbl>
            <w:tblPr>
              <w:tblStyle w:val="9"/>
              <w:tblW w:w="12247" w:type="dxa"/>
              <w:tblInd w:w="-11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34"/>
              <w:gridCol w:w="102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8" w:hRule="atLeast"/>
              </w:trPr>
              <w:tc>
                <w:tcPr>
                  <w:tcW w:w="2034" w:type="dxa"/>
                  <w:vAlign w:val="center"/>
                </w:tcPr>
                <w:p>
                  <w:pPr>
                    <w:jc w:val="center"/>
                    <w:rPr>
                      <w:color w:val="000000" w:themeColor="text1"/>
                      <w:szCs w:val="21"/>
                    </w:rPr>
                  </w:pPr>
                  <w:r>
                    <w:rPr>
                      <w:rFonts w:hint="eastAsia"/>
                      <w:color w:val="000000" w:themeColor="text1"/>
                      <w:szCs w:val="21"/>
                    </w:rPr>
                    <w:t>矿用单体液压支柱</w:t>
                  </w:r>
                </w:p>
              </w:tc>
              <w:tc>
                <w:tcPr>
                  <w:tcW w:w="10213" w:type="dxa"/>
                  <w:vAlign w:val="center"/>
                </w:tcPr>
                <w:p>
                  <w:pPr>
                    <w:jc w:val="both"/>
                    <w:rPr>
                      <w:color w:val="000000" w:themeColor="text1"/>
                      <w:szCs w:val="21"/>
                    </w:rPr>
                  </w:pPr>
                  <w:r>
                    <w:rPr>
                      <w:rFonts w:hint="eastAsia"/>
                      <w:color w:val="000000" w:themeColor="text1"/>
                      <w:szCs w:val="21"/>
                    </w:rPr>
                    <w:t>下料—校直—</w:t>
                  </w:r>
                  <w:r>
                    <w:rPr>
                      <w:rFonts w:hint="eastAsia"/>
                      <w:color w:val="000000" w:themeColor="text1"/>
                      <w:szCs w:val="21"/>
                      <w:lang w:eastAsia="zh-CN"/>
                    </w:rPr>
                    <w:t>机加工</w:t>
                  </w:r>
                  <w:r>
                    <w:rPr>
                      <w:rFonts w:hint="eastAsia"/>
                      <w:color w:val="000000" w:themeColor="text1"/>
                      <w:szCs w:val="21"/>
                    </w:rPr>
                    <w:t>—顶盖、底座、手把装配—总装—出厂检验—入库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trPr>
              <w:tc>
                <w:tcPr>
                  <w:tcW w:w="2034" w:type="dxa"/>
                  <w:vAlign w:val="center"/>
                </w:tcPr>
                <w:p>
                  <w:pPr>
                    <w:jc w:val="center"/>
                    <w:rPr>
                      <w:color w:val="000000" w:themeColor="text1"/>
                      <w:szCs w:val="21"/>
                    </w:rPr>
                  </w:pPr>
                  <w:r>
                    <w:rPr>
                      <w:rFonts w:hint="eastAsia"/>
                      <w:color w:val="000000" w:themeColor="text1"/>
                      <w:szCs w:val="21"/>
                    </w:rPr>
                    <w:t>工业除尘器制造</w:t>
                  </w:r>
                </w:p>
              </w:tc>
              <w:tc>
                <w:tcPr>
                  <w:tcW w:w="10213" w:type="dxa"/>
                  <w:vAlign w:val="center"/>
                </w:tcPr>
                <w:p>
                  <w:pPr>
                    <w:jc w:val="both"/>
                    <w:rPr>
                      <w:color w:val="000000" w:themeColor="text1"/>
                      <w:szCs w:val="21"/>
                    </w:rPr>
                  </w:pPr>
                  <w:r>
                    <w:rPr>
                      <w:rFonts w:hint="eastAsia"/>
                      <w:color w:val="000000" w:themeColor="text1"/>
                      <w:szCs w:val="21"/>
                    </w:rPr>
                    <w:t>下料—校形—成形—焊接—焊后</w:t>
                  </w:r>
                  <w:r>
                    <w:rPr>
                      <w:rFonts w:hint="eastAsia"/>
                      <w:color w:val="000000" w:themeColor="text1"/>
                      <w:szCs w:val="21"/>
                      <w:lang w:eastAsia="zh-CN"/>
                    </w:rPr>
                    <w:t>机加工</w:t>
                  </w:r>
                  <w:r>
                    <w:rPr>
                      <w:rFonts w:hint="eastAsia"/>
                      <w:color w:val="000000" w:themeColor="text1"/>
                      <w:szCs w:val="21"/>
                    </w:rPr>
                    <w:t>—总装—出厂检验—入库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 w:hRule="atLeast"/>
              </w:trPr>
              <w:tc>
                <w:tcPr>
                  <w:tcW w:w="2034" w:type="dxa"/>
                  <w:vAlign w:val="center"/>
                </w:tcPr>
                <w:p>
                  <w:pPr>
                    <w:jc w:val="center"/>
                    <w:rPr>
                      <w:color w:val="000000" w:themeColor="text1"/>
                      <w:szCs w:val="21"/>
                    </w:rPr>
                  </w:pPr>
                  <w:r>
                    <w:rPr>
                      <w:rFonts w:hint="eastAsia"/>
                      <w:color w:val="000000" w:themeColor="text1"/>
                      <w:szCs w:val="21"/>
                    </w:rPr>
                    <w:t>金属结构制造</w:t>
                  </w:r>
                </w:p>
              </w:tc>
              <w:tc>
                <w:tcPr>
                  <w:tcW w:w="10213" w:type="dxa"/>
                  <w:vAlign w:val="center"/>
                </w:tcPr>
                <w:p>
                  <w:pPr>
                    <w:rPr>
                      <w:color w:val="000000" w:themeColor="text1"/>
                      <w:szCs w:val="21"/>
                    </w:rPr>
                  </w:pPr>
                  <w:r>
                    <w:rPr>
                      <w:rFonts w:hint="eastAsia"/>
                      <w:color w:val="000000" w:themeColor="text1"/>
                      <w:szCs w:val="21"/>
                    </w:rPr>
                    <w:t>下料—校形—成形—</w:t>
                  </w:r>
                  <w:r>
                    <w:rPr>
                      <w:rFonts w:hint="eastAsia"/>
                      <w:color w:val="000000" w:themeColor="text1"/>
                      <w:szCs w:val="21"/>
                      <w:lang w:eastAsia="zh-CN"/>
                    </w:rPr>
                    <w:t>机加工</w:t>
                  </w:r>
                  <w:r>
                    <w:rPr>
                      <w:rFonts w:hint="eastAsia"/>
                      <w:color w:val="000000" w:themeColor="text1"/>
                      <w:szCs w:val="21"/>
                    </w:rPr>
                    <w:t>—焊接——出厂检验—入库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 w:hRule="atLeast"/>
              </w:trPr>
              <w:tc>
                <w:tcPr>
                  <w:tcW w:w="2034" w:type="dxa"/>
                  <w:vAlign w:val="center"/>
                </w:tcPr>
                <w:p>
                  <w:pPr>
                    <w:jc w:val="center"/>
                    <w:rPr>
                      <w:color w:val="000000" w:themeColor="text1"/>
                      <w:szCs w:val="21"/>
                    </w:rPr>
                  </w:pPr>
                  <w:r>
                    <w:rPr>
                      <w:rFonts w:hint="eastAsia"/>
                      <w:color w:val="000000" w:themeColor="text1"/>
                      <w:szCs w:val="21"/>
                    </w:rPr>
                    <w:t>建筑用金属配件制造</w:t>
                  </w:r>
                </w:p>
              </w:tc>
              <w:tc>
                <w:tcPr>
                  <w:tcW w:w="10213" w:type="dxa"/>
                  <w:vAlign w:val="center"/>
                </w:tcPr>
                <w:p>
                  <w:pPr>
                    <w:rPr>
                      <w:color w:val="000000" w:themeColor="text1"/>
                      <w:szCs w:val="21"/>
                    </w:rPr>
                  </w:pPr>
                  <w:r>
                    <w:rPr>
                      <w:rFonts w:hint="eastAsia"/>
                      <w:color w:val="000000" w:themeColor="text1"/>
                      <w:szCs w:val="21"/>
                    </w:rPr>
                    <w:t>下料—校形—成形—</w:t>
                  </w:r>
                  <w:r>
                    <w:rPr>
                      <w:rFonts w:hint="eastAsia"/>
                      <w:color w:val="000000" w:themeColor="text1"/>
                      <w:szCs w:val="21"/>
                      <w:lang w:eastAsia="zh-CN"/>
                    </w:rPr>
                    <w:t>机加工</w:t>
                  </w:r>
                  <w:r>
                    <w:rPr>
                      <w:rFonts w:hint="eastAsia"/>
                      <w:color w:val="000000" w:themeColor="text1"/>
                      <w:szCs w:val="21"/>
                    </w:rPr>
                    <w:t>—焊接—出厂检验—入库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 w:hRule="atLeast"/>
              </w:trPr>
              <w:tc>
                <w:tcPr>
                  <w:tcW w:w="2034" w:type="dxa"/>
                  <w:vAlign w:val="center"/>
                </w:tcPr>
                <w:p>
                  <w:pPr>
                    <w:jc w:val="center"/>
                    <w:rPr>
                      <w:color w:val="000000" w:themeColor="text1"/>
                      <w:szCs w:val="21"/>
                    </w:rPr>
                  </w:pPr>
                  <w:r>
                    <w:rPr>
                      <w:rFonts w:hint="eastAsia"/>
                      <w:color w:val="000000" w:themeColor="text1"/>
                      <w:szCs w:val="21"/>
                    </w:rPr>
                    <w:t>模具制造</w:t>
                  </w:r>
                </w:p>
              </w:tc>
              <w:tc>
                <w:tcPr>
                  <w:tcW w:w="10213" w:type="dxa"/>
                  <w:vAlign w:val="center"/>
                </w:tcPr>
                <w:p>
                  <w:pPr>
                    <w:jc w:val="both"/>
                    <w:rPr>
                      <w:color w:val="000000" w:themeColor="text1"/>
                      <w:szCs w:val="21"/>
                    </w:rPr>
                  </w:pPr>
                  <w:r>
                    <w:rPr>
                      <w:rFonts w:hint="eastAsia"/>
                      <w:color w:val="000000" w:themeColor="text1"/>
                      <w:szCs w:val="21"/>
                    </w:rPr>
                    <w:t>下料—校形—成形—</w:t>
                  </w:r>
                  <w:r>
                    <w:rPr>
                      <w:rFonts w:hint="eastAsia"/>
                      <w:color w:val="000000" w:themeColor="text1"/>
                      <w:szCs w:val="21"/>
                      <w:lang w:eastAsia="zh-CN"/>
                    </w:rPr>
                    <w:t>机加工</w:t>
                  </w:r>
                  <w:r>
                    <w:rPr>
                      <w:rFonts w:hint="eastAsia"/>
                      <w:color w:val="000000" w:themeColor="text1"/>
                      <w:szCs w:val="21"/>
                    </w:rPr>
                    <w:t>—焊接部装—焊后</w:t>
                  </w:r>
                  <w:r>
                    <w:rPr>
                      <w:rFonts w:hint="eastAsia"/>
                      <w:color w:val="000000" w:themeColor="text1"/>
                      <w:szCs w:val="21"/>
                      <w:lang w:eastAsia="zh-CN"/>
                    </w:rPr>
                    <w:t>机加工</w:t>
                  </w:r>
                  <w:r>
                    <w:rPr>
                      <w:rFonts w:hint="eastAsia"/>
                      <w:color w:val="000000" w:themeColor="text1"/>
                      <w:szCs w:val="21"/>
                    </w:rPr>
                    <w:t>—总装—出厂检验—入库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3" w:hRule="atLeast"/>
              </w:trPr>
              <w:tc>
                <w:tcPr>
                  <w:tcW w:w="2034" w:type="dxa"/>
                  <w:vAlign w:val="center"/>
                </w:tcPr>
                <w:p>
                  <w:pPr>
                    <w:jc w:val="center"/>
                    <w:rPr>
                      <w:color w:val="000000" w:themeColor="text1"/>
                      <w:szCs w:val="21"/>
                    </w:rPr>
                  </w:pPr>
                  <w:r>
                    <w:rPr>
                      <w:rFonts w:hint="eastAsia"/>
                      <w:color w:val="000000" w:themeColor="text1"/>
                      <w:szCs w:val="21"/>
                    </w:rPr>
                    <w:t>农业机械制造</w:t>
                  </w:r>
                </w:p>
              </w:tc>
              <w:tc>
                <w:tcPr>
                  <w:tcW w:w="10213" w:type="dxa"/>
                  <w:vAlign w:val="center"/>
                </w:tcPr>
                <w:p>
                  <w:pPr>
                    <w:jc w:val="both"/>
                    <w:rPr>
                      <w:color w:val="000000" w:themeColor="text1"/>
                      <w:szCs w:val="21"/>
                    </w:rPr>
                  </w:pPr>
                  <w:r>
                    <w:rPr>
                      <w:rFonts w:hint="eastAsia"/>
                      <w:color w:val="000000" w:themeColor="text1"/>
                      <w:szCs w:val="21"/>
                    </w:rPr>
                    <w:t>下料—校形—成形—</w:t>
                  </w:r>
                  <w:r>
                    <w:rPr>
                      <w:rFonts w:hint="eastAsia"/>
                      <w:color w:val="000000" w:themeColor="text1"/>
                      <w:szCs w:val="21"/>
                      <w:lang w:eastAsia="zh-CN"/>
                    </w:rPr>
                    <w:t>机加工</w:t>
                  </w:r>
                  <w:r>
                    <w:rPr>
                      <w:rFonts w:hint="eastAsia"/>
                      <w:color w:val="000000" w:themeColor="text1"/>
                      <w:szCs w:val="21"/>
                    </w:rPr>
                    <w:t>—焊接部装—焊后</w:t>
                  </w:r>
                  <w:r>
                    <w:rPr>
                      <w:rFonts w:hint="eastAsia"/>
                      <w:color w:val="000000" w:themeColor="text1"/>
                      <w:szCs w:val="21"/>
                      <w:lang w:eastAsia="zh-CN"/>
                    </w:rPr>
                    <w:t>机加工</w:t>
                  </w:r>
                  <w:r>
                    <w:rPr>
                      <w:rFonts w:hint="eastAsia"/>
                      <w:color w:val="000000" w:themeColor="text1"/>
                      <w:szCs w:val="21"/>
                    </w:rPr>
                    <w:t>—总装—出厂检验—入库</w:t>
                  </w:r>
                </w:p>
              </w:tc>
            </w:tr>
          </w:tbl>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8"/>
        <w:gridCol w:w="274"/>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2022年02月17日 上午至2022年02月17日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58" w:type="dxa"/>
            <w:vMerge w:val="restart"/>
            <w:vAlign w:val="center"/>
          </w:tcPr>
          <w:p>
            <w:r>
              <w:rPr>
                <w:rFonts w:hint="eastAsia"/>
              </w:rPr>
              <w:t>审核范围</w:t>
            </w:r>
          </w:p>
          <w:p/>
        </w:tc>
        <w:tc>
          <w:tcPr>
            <w:tcW w:w="4890" w:type="dxa"/>
            <w:gridSpan w:val="3"/>
            <w:vMerge w:val="restart"/>
            <w:vAlign w:val="center"/>
          </w:tcPr>
          <w:p>
            <w:bookmarkStart w:id="29" w:name="审核范围"/>
            <w:r>
              <w:t>矿用单体液压支柱、工业除尘器、金属结构、建筑用金属配件、模具、农业机械的制造。</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58" w:type="dxa"/>
            <w:vMerge w:val="continue"/>
            <w:vAlign w:val="center"/>
          </w:tcPr>
          <w:p/>
        </w:tc>
        <w:tc>
          <w:tcPr>
            <w:tcW w:w="4890" w:type="dxa"/>
            <w:gridSpan w:val="3"/>
            <w:vMerge w:val="continue"/>
            <w:vAlign w:val="center"/>
          </w:tcPr>
          <w:p/>
        </w:tc>
        <w:tc>
          <w:tcPr>
            <w:tcW w:w="3215" w:type="dxa"/>
            <w:vAlign w:val="center"/>
          </w:tcPr>
          <w:p>
            <w:bookmarkStart w:id="30" w:name="专业代码"/>
            <w:r>
              <w:t>17.06.01;17.11.03;17.12.05;18.03.00;18.05.07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keepNext w:val="0"/>
              <w:keepLines w:val="0"/>
              <w:widowControl/>
              <w:suppressLineNumbers w:val="0"/>
              <w:jc w:val="left"/>
              <w:rPr>
                <w:rFonts w:hint="eastAsia"/>
                <w:color w:val="000000"/>
                <w:szCs w:val="18"/>
              </w:rPr>
            </w:pPr>
            <w:r>
              <w:rPr>
                <w:rFonts w:hint="eastAsia"/>
                <w:color w:val="000000"/>
                <w:szCs w:val="18"/>
                <w:lang w:val="en-US" w:eastAsia="zh-CN"/>
              </w:rPr>
              <w:t>2020 年 12 月 10 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重庆天巨承机械制造有限责任公司</w:t>
            </w:r>
            <w:r>
              <w:rPr>
                <w:rFonts w:hint="eastAsia" w:ascii="宋体" w:hAnsi="宋体" w:cs="宋体"/>
                <w:color w:val="000000"/>
                <w:kern w:val="0"/>
                <w:szCs w:val="21"/>
                <w:lang w:val="en-US" w:eastAsia="zh-CN"/>
              </w:rPr>
              <w:t>/</w:t>
            </w:r>
          </w:p>
          <w:p>
            <w:r>
              <w:rPr>
                <w:rFonts w:hint="eastAsia" w:ascii="宋体" w:hAnsi="宋体" w:cs="宋体"/>
                <w:color w:val="000000"/>
                <w:kern w:val="0"/>
                <w:szCs w:val="21"/>
              </w:rPr>
              <w:t>重庆市北碚区天府镇后丰岩225号</w:t>
            </w:r>
          </w:p>
          <w:p>
            <w:pPr>
              <w:rPr>
                <w:lang w:val="de-DE" w:eastAsia="ja-JP"/>
              </w:rPr>
            </w:pPr>
          </w:p>
        </w:tc>
        <w:tc>
          <w:tcPr>
            <w:tcW w:w="2267" w:type="dxa"/>
          </w:tcPr>
          <w:p>
            <w:r>
              <w:rPr>
                <w:rFonts w:hint="eastAsia" w:ascii="宋体" w:hAnsi="宋体" w:cs="宋体"/>
                <w:color w:val="000000"/>
                <w:kern w:val="0"/>
                <w:szCs w:val="21"/>
              </w:rPr>
              <w:t>重庆市北碚区天府镇后丰岩225号</w:t>
            </w:r>
          </w:p>
          <w:p>
            <w:pPr>
              <w:rPr>
                <w:lang w:val="de-DE" w:eastAsia="ja-JP"/>
              </w:rPr>
            </w:pPr>
          </w:p>
        </w:tc>
        <w:tc>
          <w:tcPr>
            <w:tcW w:w="571" w:type="dxa"/>
            <w:vAlign w:val="center"/>
          </w:tcPr>
          <w:p>
            <w:pPr>
              <w:rPr>
                <w:rFonts w:hint="default" w:eastAsia="宋体"/>
                <w:lang w:val="en-US" w:eastAsia="zh-CN"/>
              </w:rPr>
            </w:pPr>
            <w:r>
              <w:rPr>
                <w:rFonts w:hint="eastAsia"/>
                <w:lang w:val="en-US" w:eastAsia="zh-CN"/>
              </w:rPr>
              <w:t>52</w:t>
            </w:r>
          </w:p>
        </w:tc>
        <w:tc>
          <w:tcPr>
            <w:tcW w:w="2803" w:type="dxa"/>
            <w:vAlign w:val="center"/>
          </w:tcPr>
          <w:p>
            <w:pPr>
              <w:rPr>
                <w:lang w:eastAsia="ja-JP"/>
              </w:rPr>
            </w:pPr>
            <w:r>
              <w:rPr>
                <w:rFonts w:ascii="宋体" w:hAnsi="宋体" w:cs="宋体"/>
                <w:color w:val="000000"/>
                <w:kern w:val="0"/>
                <w:szCs w:val="21"/>
              </w:rPr>
              <w:t>矿用单体液压支柱、工业除尘器、金属结构、建筑用金属配件、模具、农业机械的制造</w:t>
            </w:r>
          </w:p>
        </w:tc>
        <w:tc>
          <w:tcPr>
            <w:tcW w:w="669" w:type="dxa"/>
            <w:vAlign w:val="center"/>
          </w:tcPr>
          <w:p>
            <w:pPr>
              <w:rPr>
                <w:lang w:eastAsia="ja-JP"/>
              </w:rPr>
            </w:pPr>
            <w:r>
              <w:rPr>
                <w:rFonts w:ascii="宋体" w:hAnsi="宋体" w:cs="宋体"/>
                <w:color w:val="000000"/>
                <w:kern w:val="0"/>
                <w:szCs w:val="21"/>
              </w:rPr>
              <w:t>GB/T19001-2016</w:t>
            </w:r>
          </w:p>
        </w:tc>
        <w:tc>
          <w:tcPr>
            <w:tcW w:w="668" w:type="dxa"/>
            <w:shd w:val="clear" w:color="auto" w:fill="FFFFFF"/>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tc>
        <w:tc>
          <w:tcPr>
            <w:tcW w:w="2179" w:type="dxa"/>
            <w:vAlign w:val="center"/>
          </w:tcPr>
          <w:p>
            <w:r>
              <w:t>17.06.01,17.11.03,17.12.05,18.03.00,18.05.07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tc>
        <w:tc>
          <w:tcPr>
            <w:tcW w:w="2179" w:type="dxa"/>
            <w:vAlign w:val="center"/>
          </w:tcPr>
          <w:p>
            <w:r>
              <w:t>17.06.01,17.11.03,17.12.05,18.05.07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17.11.03,17.12.05,18.03.00,18.05.07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849"/>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194"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ascii="宋体" w:hAnsi="宋体" w:cs="宋体"/>
                <w:color w:val="000000" w:themeColor="text1"/>
                <w:szCs w:val="21"/>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名片，公司宣传册，标书等）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6"/>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16"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574040</wp:posOffset>
                  </wp:positionH>
                  <wp:positionV relativeFrom="paragraph">
                    <wp:posOffset>43180</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2022年02月17日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r>
        <w:rPr>
          <w:shd w:val="clear" w:color="FFFFFF" w:fill="D9D9D9"/>
        </w:rPr>
        <w:t>附件ISO 9001:2015 (若不是ISO 9001:2015审核请删除)</w:t>
      </w:r>
    </w:p>
    <w:tbl>
      <w:tblPr>
        <w:tblStyle w:val="9"/>
        <w:tblW w:w="10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100"/>
        <w:gridCol w:w="9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00" w:type="dxa"/>
            <w:shd w:val="clear" w:color="auto" w:fill="C7DAF1" w:themeFill="text2" w:themeFillTint="32"/>
          </w:tcPr>
          <w:p>
            <w:pPr>
              <w:shd w:val="clear" w:color="auto" w:fill="C7DAF1" w:themeFill="text2" w:themeFillTint="32"/>
            </w:pPr>
            <w:r>
              <w:rPr>
                <w:rFonts w:hint="eastAsia"/>
              </w:rPr>
              <w:t>审核周期</w:t>
            </w:r>
          </w:p>
        </w:tc>
        <w:tc>
          <w:tcPr>
            <w:tcW w:w="9487" w:type="dxa"/>
            <w:shd w:val="clear" w:color="auto" w:fill="C7DAF1" w:themeFill="text2" w:themeFillTint="32"/>
          </w:tcPr>
          <w:p>
            <w:pPr>
              <w:shd w:val="clear" w:color="auto" w:fill="C7DAF1" w:themeFill="text2" w:themeFillTint="32"/>
            </w:pPr>
            <w:r>
              <w:rPr>
                <w:rFonts w:hint="eastAsia"/>
              </w:rPr>
              <w:t xml:space="preserve"> </w:t>
            </w:r>
            <w:bookmarkStart w:id="34" w:name="_GoBack"/>
            <w:bookmarkEnd w:id="34"/>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00" w:type="dxa"/>
            <w:shd w:val="clear" w:color="auto" w:fill="C7DAF1" w:themeFill="text2" w:themeFillTint="32"/>
          </w:tcPr>
          <w:p>
            <w:pPr>
              <w:shd w:val="clear" w:color="auto" w:fill="C7DAF1" w:themeFill="text2" w:themeFillTint="32"/>
            </w:pPr>
            <w:r>
              <w:rPr>
                <w:rFonts w:hint="eastAsia"/>
              </w:rPr>
              <w:t>体系要素</w:t>
            </w:r>
          </w:p>
        </w:tc>
        <w:tc>
          <w:tcPr>
            <w:tcW w:w="9487"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100" w:type="dxa"/>
            <w:vMerge w:val="restart"/>
            <w:shd w:val="clear" w:color="auto" w:fill="C7DAF1" w:themeFill="text2" w:themeFillTint="32"/>
          </w:tcPr>
          <w:p>
            <w:pPr>
              <w:shd w:val="clear" w:color="auto" w:fill="C7DAF1" w:themeFill="text2" w:themeFillTint="32"/>
            </w:pPr>
            <w:r>
              <w:rPr>
                <w:rFonts w:hint="eastAsia"/>
              </w:rPr>
              <w:t>组织环境</w:t>
            </w:r>
          </w:p>
        </w:tc>
        <w:tc>
          <w:tcPr>
            <w:tcW w:w="9487"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ascii="宋体" w:hAnsi="宋体"/>
                <w:b/>
                <w:bCs/>
                <w:color w:val="000000" w:themeColor="text1"/>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color w:val="000000" w:themeColor="text1"/>
                <w:lang w:val="en-GB"/>
              </w:rPr>
              <w:t>）：</w:t>
            </w:r>
            <w:r>
              <w:rPr>
                <w:rFonts w:hint="eastAsia" w:ascii="宋体" w:hAnsi="宋体"/>
                <w:b/>
                <w:bCs/>
                <w:color w:val="000000" w:themeColor="text1"/>
                <w:szCs w:val="21"/>
              </w:rPr>
              <w:t>无</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00" w:type="dxa"/>
            <w:vMerge w:val="restart"/>
            <w:shd w:val="clear" w:color="auto" w:fill="C7DAF1" w:themeFill="text2" w:themeFillTint="32"/>
          </w:tcPr>
          <w:p>
            <w:pPr>
              <w:shd w:val="clear" w:color="auto" w:fill="C7DAF1" w:themeFill="text2" w:themeFillTint="32"/>
            </w:pPr>
            <w:r>
              <w:rPr>
                <w:rFonts w:hint="eastAsia"/>
              </w:rPr>
              <w:t>领导作用</w:t>
            </w:r>
          </w:p>
        </w:tc>
        <w:tc>
          <w:tcPr>
            <w:tcW w:w="9487"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pacing w:line="360" w:lineRule="auto"/>
            </w:pPr>
            <w:r>
              <w:rPr>
                <w:rFonts w:hint="eastAsia"/>
              </w:rPr>
              <w:t>最高管理者制定了文件化的管理体系方针：</w:t>
            </w:r>
          </w:p>
          <w:p>
            <w:pPr>
              <w:shd w:val="clear" w:color="auto" w:fill="C7DAF1" w:themeFill="text2" w:themeFillTint="32"/>
              <w:rPr>
                <w:rFonts w:hint="eastAsia"/>
                <w:b/>
                <w:bCs/>
                <w:color w:val="000000"/>
                <w:szCs w:val="18"/>
                <w:lang w:val="en-US" w:eastAsia="zh-CN"/>
              </w:rPr>
            </w:pPr>
            <w:r>
              <w:rPr>
                <w:rFonts w:hint="eastAsia"/>
                <w:b/>
                <w:bCs/>
                <w:color w:val="000000"/>
                <w:szCs w:val="18"/>
                <w:lang w:val="en-US" w:eastAsia="zh-CN"/>
              </w:rPr>
              <w:t>质量第一，用户至上，以先进而可靠的技术，科学而高效的管理，提供国内外用户满意、质量第一流的产品</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84"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b/>
                <w:bCs/>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00" w:type="dxa"/>
            <w:vMerge w:val="restart"/>
            <w:shd w:val="clear" w:color="auto" w:fill="C7DAF1" w:themeFill="text2" w:themeFillTint="32"/>
          </w:tcPr>
          <w:p>
            <w:pPr>
              <w:shd w:val="clear" w:color="auto" w:fill="C7DAF1" w:themeFill="text2" w:themeFillTint="32"/>
            </w:pPr>
            <w:r>
              <w:rPr>
                <w:rFonts w:hint="eastAsia"/>
              </w:rPr>
              <w:t>策划</w:t>
            </w:r>
          </w:p>
        </w:tc>
        <w:tc>
          <w:tcPr>
            <w:tcW w:w="9487"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法律、法规内容的变化</w:t>
                  </w:r>
                </w:p>
              </w:tc>
              <w:tc>
                <w:tcPr>
                  <w:tcW w:w="3965" w:type="dxa"/>
                </w:tcPr>
                <w:p>
                  <w:pPr>
                    <w:spacing w:line="360" w:lineRule="auto"/>
                  </w:pPr>
                  <w:r>
                    <w:rPr>
                      <w:rFonts w:hint="eastAsia" w:ascii="宋体" w:hAnsi="宋体" w:cs="宋体"/>
                      <w:szCs w:val="21"/>
                    </w:rPr>
                    <w:t>主要职能部门按照要求加强相关产品销售区域所在地法政策的收集评价。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公司产品售后服务处理不好，顾客埋怨投诉较多，会严重影响公司产品的销售，会给公司发展带来较大的客户流失风险</w:t>
                  </w:r>
                </w:p>
              </w:tc>
              <w:tc>
                <w:tcPr>
                  <w:tcW w:w="3965" w:type="dxa"/>
                </w:tcPr>
                <w:p>
                  <w:pPr>
                    <w:shd w:val="clear" w:color="auto" w:fill="C7DAF1" w:themeFill="text2" w:themeFillTint="32"/>
                  </w:pPr>
                  <w:r>
                    <w:rPr>
                      <w:rFonts w:hint="eastAsia" w:ascii="宋体" w:hAnsi="宋体" w:cs="宋体"/>
                      <w:szCs w:val="21"/>
                    </w:rPr>
                    <w:t>销售部和质量管理部要严格按照售后服务管理规定，做好客户服务工作，提高客户满意度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人员能力不满足生产技术的发展</w:t>
                  </w:r>
                </w:p>
              </w:tc>
              <w:tc>
                <w:tcPr>
                  <w:tcW w:w="3965"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原材料的质量及价格使公司的产品不具备竞争能力</w:t>
                  </w:r>
                </w:p>
              </w:tc>
              <w:tc>
                <w:tcPr>
                  <w:tcW w:w="3965" w:type="dxa"/>
                </w:tcPr>
                <w:p>
                  <w:pPr>
                    <w:shd w:val="clear" w:color="auto" w:fill="C7DAF1" w:themeFill="text2" w:themeFillTint="32"/>
                  </w:pPr>
                  <w:r>
                    <w:rPr>
                      <w:rFonts w:hint="eastAsia"/>
                    </w:rPr>
                    <w:t>对供方进行评价评审后比选采购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pPr>
              <w:shd w:val="clear" w:color="auto" w:fill="C7DAF1" w:themeFill="text2" w:themeFillTint="32"/>
              <w:rPr>
                <w:color w:val="000000" w:themeColor="text1"/>
              </w:rPr>
            </w:pPr>
            <w:r>
              <w:rPr>
                <w:rFonts w:hint="eastAsia"/>
                <w:color w:val="000000" w:themeColor="text1"/>
              </w:rPr>
              <w:t>总质量目标实现情况的评价，及其测量方法是：</w:t>
            </w:r>
          </w:p>
          <w:tbl>
            <w:tblPr>
              <w:tblStyle w:val="9"/>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245"/>
              <w:gridCol w:w="3092"/>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Pr>
                <w:p>
                  <w:pPr>
                    <w:widowControl/>
                    <w:spacing w:before="40"/>
                    <w:jc w:val="left"/>
                    <w:rPr>
                      <w:rFonts w:hint="eastAsia"/>
                      <w:color w:val="000000"/>
                      <w:szCs w:val="18"/>
                    </w:rPr>
                  </w:pPr>
                  <w:r>
                    <w:rPr>
                      <w:rFonts w:hint="eastAsia"/>
                      <w:color w:val="000000"/>
                      <w:szCs w:val="18"/>
                    </w:rPr>
                    <w:t>目标</w:t>
                  </w:r>
                </w:p>
              </w:tc>
              <w:tc>
                <w:tcPr>
                  <w:tcW w:w="1245" w:type="dxa"/>
                </w:tcPr>
                <w:p>
                  <w:pPr>
                    <w:widowControl/>
                    <w:spacing w:before="40"/>
                    <w:jc w:val="left"/>
                    <w:rPr>
                      <w:rFonts w:hint="eastAsia"/>
                      <w:color w:val="000000"/>
                      <w:szCs w:val="18"/>
                    </w:rPr>
                  </w:pPr>
                  <w:r>
                    <w:rPr>
                      <w:rFonts w:hint="eastAsia"/>
                      <w:color w:val="000000"/>
                      <w:szCs w:val="18"/>
                    </w:rPr>
                    <w:t>考核频次</w:t>
                  </w:r>
                </w:p>
              </w:tc>
              <w:tc>
                <w:tcPr>
                  <w:tcW w:w="3092" w:type="dxa"/>
                </w:tcPr>
                <w:p>
                  <w:pPr>
                    <w:widowControl/>
                    <w:spacing w:before="40"/>
                    <w:jc w:val="left"/>
                    <w:rPr>
                      <w:rFonts w:hint="eastAsia"/>
                      <w:color w:val="000000"/>
                      <w:szCs w:val="18"/>
                    </w:rPr>
                  </w:pPr>
                  <w:r>
                    <w:rPr>
                      <w:rFonts w:hint="eastAsia"/>
                      <w:color w:val="000000"/>
                      <w:szCs w:val="18"/>
                    </w:rPr>
                    <w:t>计算方法</w:t>
                  </w:r>
                </w:p>
              </w:tc>
              <w:tc>
                <w:tcPr>
                  <w:tcW w:w="2444" w:type="dxa"/>
                </w:tcPr>
                <w:p>
                  <w:pPr>
                    <w:widowControl/>
                    <w:spacing w:before="40"/>
                    <w:jc w:val="left"/>
                    <w:rPr>
                      <w:rFonts w:hint="eastAsia"/>
                      <w:color w:val="000000"/>
                      <w:szCs w:val="18"/>
                    </w:rPr>
                  </w:pPr>
                  <w:r>
                    <w:rPr>
                      <w:rFonts w:hint="eastAsia"/>
                      <w:color w:val="000000"/>
                      <w:szCs w:val="1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Pr>
                <w:p>
                  <w:pPr>
                    <w:widowControl/>
                    <w:spacing w:before="40"/>
                    <w:jc w:val="left"/>
                    <w:rPr>
                      <w:rFonts w:hint="eastAsia"/>
                      <w:color w:val="000000"/>
                      <w:szCs w:val="18"/>
                    </w:rPr>
                  </w:pPr>
                  <w:r>
                    <w:rPr>
                      <w:rFonts w:hint="eastAsia"/>
                      <w:color w:val="000000"/>
                      <w:szCs w:val="18"/>
                      <w:lang w:val="en-US" w:eastAsia="zh-CN"/>
                    </w:rPr>
                    <w:t>成品交验一次合格率≥98%</w:t>
                  </w:r>
                </w:p>
              </w:tc>
              <w:tc>
                <w:tcPr>
                  <w:tcW w:w="1245" w:type="dxa"/>
                </w:tcPr>
                <w:p>
                  <w:pPr>
                    <w:widowControl/>
                    <w:spacing w:before="40"/>
                    <w:jc w:val="left"/>
                    <w:rPr>
                      <w:rFonts w:hint="eastAsia"/>
                      <w:color w:val="000000"/>
                      <w:szCs w:val="18"/>
                      <w:lang w:eastAsia="zh-CN"/>
                    </w:rPr>
                  </w:pPr>
                  <w:r>
                    <w:rPr>
                      <w:rFonts w:hint="eastAsia"/>
                      <w:color w:val="000000"/>
                      <w:szCs w:val="18"/>
                      <w:lang w:eastAsia="zh-CN"/>
                    </w:rPr>
                    <w:t>每季度</w:t>
                  </w:r>
                </w:p>
              </w:tc>
              <w:tc>
                <w:tcPr>
                  <w:tcW w:w="3092" w:type="dxa"/>
                </w:tcPr>
                <w:p>
                  <w:pPr>
                    <w:widowControl/>
                    <w:spacing w:before="40"/>
                    <w:jc w:val="left"/>
                    <w:rPr>
                      <w:rFonts w:hint="eastAsia"/>
                      <w:color w:val="000000"/>
                      <w:szCs w:val="18"/>
                    </w:rPr>
                  </w:pPr>
                  <w:r>
                    <w:rPr>
                      <w:rFonts w:hint="eastAsia"/>
                      <w:color w:val="000000"/>
                      <w:szCs w:val="18"/>
                      <w:lang w:val="en-US" w:eastAsia="zh-CN"/>
                    </w:rPr>
                    <w:t>成品交验一次合格数/成品总*100%</w:t>
                  </w:r>
                </w:p>
              </w:tc>
              <w:tc>
                <w:tcPr>
                  <w:tcW w:w="2444" w:type="dxa"/>
                </w:tcPr>
                <w:p>
                  <w:pPr>
                    <w:widowControl/>
                    <w:spacing w:before="40"/>
                    <w:jc w:val="left"/>
                    <w:rPr>
                      <w:rFonts w:hint="default"/>
                      <w:color w:val="000000"/>
                      <w:szCs w:val="18"/>
                      <w:lang w:val="en-US" w:eastAsia="zh-CN"/>
                    </w:rPr>
                  </w:pPr>
                  <w:r>
                    <w:rPr>
                      <w:rFonts w:hint="eastAsia"/>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Pr>
                <w:p>
                  <w:pPr>
                    <w:widowControl/>
                    <w:spacing w:before="40"/>
                    <w:jc w:val="left"/>
                    <w:rPr>
                      <w:rFonts w:hint="eastAsia"/>
                      <w:color w:val="000000"/>
                      <w:szCs w:val="18"/>
                    </w:rPr>
                  </w:pPr>
                  <w:r>
                    <w:rPr>
                      <w:rFonts w:hint="eastAsia"/>
                      <w:color w:val="000000"/>
                      <w:szCs w:val="18"/>
                      <w:lang w:val="en-US" w:eastAsia="zh-CN"/>
                    </w:rPr>
                    <w:t>进货一次交验合格率≥95%</w:t>
                  </w:r>
                </w:p>
              </w:tc>
              <w:tc>
                <w:tcPr>
                  <w:tcW w:w="1245" w:type="dxa"/>
                </w:tcPr>
                <w:p>
                  <w:pPr>
                    <w:widowControl/>
                    <w:spacing w:before="40"/>
                    <w:jc w:val="left"/>
                    <w:rPr>
                      <w:rFonts w:hint="eastAsia"/>
                      <w:color w:val="000000"/>
                      <w:szCs w:val="18"/>
                    </w:rPr>
                  </w:pPr>
                  <w:r>
                    <w:rPr>
                      <w:rFonts w:hint="eastAsia"/>
                      <w:color w:val="000000"/>
                      <w:szCs w:val="18"/>
                      <w:lang w:eastAsia="zh-CN"/>
                    </w:rPr>
                    <w:t>每季度</w:t>
                  </w:r>
                </w:p>
              </w:tc>
              <w:tc>
                <w:tcPr>
                  <w:tcW w:w="3092" w:type="dxa"/>
                </w:tcPr>
                <w:p>
                  <w:pPr>
                    <w:widowControl/>
                    <w:spacing w:before="40"/>
                    <w:jc w:val="left"/>
                    <w:rPr>
                      <w:rFonts w:hint="eastAsia"/>
                      <w:color w:val="000000"/>
                      <w:szCs w:val="18"/>
                    </w:rPr>
                  </w:pPr>
                  <w:r>
                    <w:rPr>
                      <w:rFonts w:hint="eastAsia"/>
                      <w:color w:val="000000"/>
                      <w:szCs w:val="18"/>
                      <w:lang w:val="en-US" w:eastAsia="zh-CN"/>
                    </w:rPr>
                    <w:t>进货一次交验合格数/进货交验总数*100%</w:t>
                  </w:r>
                </w:p>
              </w:tc>
              <w:tc>
                <w:tcPr>
                  <w:tcW w:w="2444" w:type="dxa"/>
                </w:tcPr>
                <w:p>
                  <w:pPr>
                    <w:widowControl/>
                    <w:spacing w:before="40"/>
                    <w:jc w:val="left"/>
                    <w:rPr>
                      <w:rFonts w:hint="eastAsia"/>
                      <w:color w:val="000000"/>
                      <w:szCs w:val="18"/>
                    </w:rPr>
                  </w:pPr>
                  <w:r>
                    <w:rPr>
                      <w:rFonts w:hint="eastAsia"/>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Pr>
                <w:p>
                  <w:pPr>
                    <w:widowControl/>
                    <w:spacing w:before="40"/>
                    <w:jc w:val="left"/>
                    <w:rPr>
                      <w:rFonts w:hint="eastAsia"/>
                      <w:color w:val="000000"/>
                      <w:szCs w:val="18"/>
                    </w:rPr>
                  </w:pPr>
                  <w:r>
                    <w:rPr>
                      <w:rFonts w:hint="eastAsia"/>
                      <w:color w:val="000000"/>
                      <w:szCs w:val="18"/>
                      <w:lang w:val="en-US" w:eastAsia="zh-CN"/>
                    </w:rPr>
                    <w:t xml:space="preserve">顾客满意率≥90%； </w:t>
                  </w:r>
                </w:p>
              </w:tc>
              <w:tc>
                <w:tcPr>
                  <w:tcW w:w="1245" w:type="dxa"/>
                </w:tcPr>
                <w:p>
                  <w:pPr>
                    <w:widowControl/>
                    <w:spacing w:before="40"/>
                    <w:jc w:val="left"/>
                    <w:rPr>
                      <w:rFonts w:hint="eastAsia"/>
                      <w:color w:val="000000"/>
                      <w:szCs w:val="18"/>
                      <w:lang w:eastAsia="zh-CN"/>
                    </w:rPr>
                  </w:pPr>
                  <w:r>
                    <w:rPr>
                      <w:rFonts w:hint="eastAsia"/>
                      <w:color w:val="000000"/>
                      <w:szCs w:val="18"/>
                      <w:lang w:eastAsia="zh-CN"/>
                    </w:rPr>
                    <w:t>每年</w:t>
                  </w:r>
                </w:p>
              </w:tc>
              <w:tc>
                <w:tcPr>
                  <w:tcW w:w="3092" w:type="dxa"/>
                </w:tcPr>
                <w:p>
                  <w:pPr>
                    <w:widowControl/>
                    <w:spacing w:before="40"/>
                    <w:jc w:val="left"/>
                    <w:rPr>
                      <w:rFonts w:hint="eastAsia"/>
                      <w:color w:val="000000"/>
                      <w:szCs w:val="18"/>
                    </w:rPr>
                  </w:pPr>
                  <w:r>
                    <w:rPr>
                      <w:rFonts w:hint="eastAsia"/>
                      <w:color w:val="000000"/>
                      <w:szCs w:val="18"/>
                      <w:lang w:val="en-US" w:eastAsia="zh-CN"/>
                    </w:rPr>
                    <w:t>根据顾客满意度调查结果和过程业绩的结果综合计算</w:t>
                  </w:r>
                </w:p>
              </w:tc>
              <w:tc>
                <w:tcPr>
                  <w:tcW w:w="2444" w:type="dxa"/>
                </w:tcPr>
                <w:p>
                  <w:pPr>
                    <w:widowControl/>
                    <w:spacing w:before="40"/>
                    <w:jc w:val="left"/>
                    <w:rPr>
                      <w:rFonts w:hint="default"/>
                      <w:color w:val="000000"/>
                      <w:szCs w:val="18"/>
                      <w:lang w:val="en-US" w:eastAsia="zh-CN"/>
                    </w:rPr>
                  </w:pPr>
                  <w:r>
                    <w:rPr>
                      <w:rFonts w:hint="eastAsia"/>
                      <w:color w:val="000000"/>
                      <w:szCs w:val="18"/>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92" w:type="dxa"/>
                </w:tcPr>
                <w:p>
                  <w:pPr>
                    <w:widowControl/>
                    <w:spacing w:before="40"/>
                    <w:jc w:val="left"/>
                    <w:rPr>
                      <w:rFonts w:hint="eastAsia"/>
                      <w:color w:val="000000"/>
                      <w:szCs w:val="18"/>
                    </w:rPr>
                  </w:pPr>
                  <w:r>
                    <w:rPr>
                      <w:rFonts w:hint="eastAsia"/>
                      <w:color w:val="000000"/>
                      <w:szCs w:val="18"/>
                      <w:lang w:val="en-US" w:eastAsia="zh-CN"/>
                    </w:rPr>
                    <w:t>交付后跟踪服务率100%；</w:t>
                  </w:r>
                </w:p>
              </w:tc>
              <w:tc>
                <w:tcPr>
                  <w:tcW w:w="1245" w:type="dxa"/>
                </w:tcPr>
                <w:p>
                  <w:pPr>
                    <w:widowControl/>
                    <w:spacing w:before="40"/>
                    <w:jc w:val="left"/>
                    <w:rPr>
                      <w:rFonts w:hint="eastAsia"/>
                      <w:color w:val="000000"/>
                      <w:szCs w:val="18"/>
                      <w:lang w:eastAsia="zh-CN"/>
                    </w:rPr>
                  </w:pPr>
                  <w:r>
                    <w:rPr>
                      <w:rFonts w:hint="eastAsia"/>
                      <w:color w:val="000000"/>
                      <w:szCs w:val="18"/>
                      <w:lang w:eastAsia="zh-CN"/>
                    </w:rPr>
                    <w:t>每季度</w:t>
                  </w:r>
                </w:p>
              </w:tc>
              <w:tc>
                <w:tcPr>
                  <w:tcW w:w="3092" w:type="dxa"/>
                </w:tcPr>
                <w:p>
                  <w:pPr>
                    <w:widowControl/>
                    <w:spacing w:before="40"/>
                    <w:jc w:val="left"/>
                    <w:rPr>
                      <w:rFonts w:hint="eastAsia"/>
                      <w:color w:val="000000"/>
                      <w:szCs w:val="18"/>
                    </w:rPr>
                  </w:pPr>
                  <w:r>
                    <w:rPr>
                      <w:rFonts w:hint="eastAsia"/>
                      <w:color w:val="000000"/>
                      <w:szCs w:val="18"/>
                      <w:lang w:val="en-US" w:eastAsia="zh-CN"/>
                    </w:rPr>
                    <w:t>产品交付后跟踪服务次数/产品交付总次数*100%</w:t>
                  </w:r>
                </w:p>
              </w:tc>
              <w:tc>
                <w:tcPr>
                  <w:tcW w:w="2444" w:type="dxa"/>
                </w:tcPr>
                <w:p>
                  <w:pPr>
                    <w:widowControl/>
                    <w:spacing w:before="40"/>
                    <w:jc w:val="left"/>
                    <w:rPr>
                      <w:rFonts w:hint="default"/>
                      <w:color w:val="000000"/>
                      <w:szCs w:val="18"/>
                      <w:lang w:val="en-US" w:eastAsia="zh-CN"/>
                    </w:rPr>
                  </w:pPr>
                  <w:r>
                    <w:rPr>
                      <w:rFonts w:hint="eastAsia"/>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992" w:type="dxa"/>
                </w:tcPr>
                <w:p>
                  <w:pPr>
                    <w:widowControl/>
                    <w:spacing w:before="40"/>
                    <w:jc w:val="left"/>
                    <w:rPr>
                      <w:rFonts w:hint="eastAsia"/>
                      <w:color w:val="000000"/>
                      <w:szCs w:val="18"/>
                    </w:rPr>
                  </w:pPr>
                  <w:r>
                    <w:rPr>
                      <w:rFonts w:hint="eastAsia"/>
                      <w:color w:val="000000"/>
                      <w:szCs w:val="18"/>
                      <w:lang w:val="en-US" w:eastAsia="zh-CN"/>
                    </w:rPr>
                    <w:t>合同履约率 100%</w:t>
                  </w:r>
                </w:p>
              </w:tc>
              <w:tc>
                <w:tcPr>
                  <w:tcW w:w="1245" w:type="dxa"/>
                </w:tcPr>
                <w:p>
                  <w:pPr>
                    <w:widowControl/>
                    <w:spacing w:before="40"/>
                    <w:jc w:val="left"/>
                    <w:rPr>
                      <w:rFonts w:hint="eastAsia"/>
                      <w:color w:val="000000"/>
                      <w:szCs w:val="18"/>
                      <w:lang w:eastAsia="zh-CN"/>
                    </w:rPr>
                  </w:pPr>
                  <w:r>
                    <w:rPr>
                      <w:rFonts w:hint="eastAsia"/>
                      <w:color w:val="000000"/>
                      <w:szCs w:val="18"/>
                      <w:lang w:eastAsia="zh-CN"/>
                    </w:rPr>
                    <w:t>每季度</w:t>
                  </w:r>
                </w:p>
              </w:tc>
              <w:tc>
                <w:tcPr>
                  <w:tcW w:w="3092" w:type="dxa"/>
                </w:tcPr>
                <w:p>
                  <w:pPr>
                    <w:widowControl/>
                    <w:spacing w:before="40"/>
                    <w:jc w:val="left"/>
                    <w:rPr>
                      <w:rFonts w:hint="eastAsia"/>
                      <w:color w:val="000000"/>
                      <w:szCs w:val="18"/>
                    </w:rPr>
                  </w:pPr>
                  <w:r>
                    <w:rPr>
                      <w:rFonts w:hint="eastAsia"/>
                      <w:color w:val="000000"/>
                      <w:szCs w:val="18"/>
                      <w:lang w:val="en-US" w:eastAsia="zh-CN"/>
                    </w:rPr>
                    <w:t>合同履约数量/ 合同总数*100%</w:t>
                  </w:r>
                </w:p>
              </w:tc>
              <w:tc>
                <w:tcPr>
                  <w:tcW w:w="2444" w:type="dxa"/>
                </w:tcPr>
                <w:p>
                  <w:pPr>
                    <w:widowControl/>
                    <w:spacing w:before="40"/>
                    <w:jc w:val="left"/>
                    <w:rPr>
                      <w:rFonts w:hint="default"/>
                      <w:color w:val="000000"/>
                      <w:szCs w:val="18"/>
                      <w:lang w:val="en-US" w:eastAsia="zh-CN"/>
                    </w:rPr>
                  </w:pPr>
                  <w:r>
                    <w:rPr>
                      <w:rFonts w:hint="eastAsia"/>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Pr>
                <w:p>
                  <w:pPr>
                    <w:widowControl/>
                    <w:spacing w:before="40"/>
                    <w:jc w:val="left"/>
                    <w:rPr>
                      <w:rFonts w:hint="eastAsia"/>
                      <w:color w:val="000000"/>
                      <w:szCs w:val="18"/>
                    </w:rPr>
                  </w:pPr>
                  <w:r>
                    <w:rPr>
                      <w:rFonts w:hint="eastAsia"/>
                      <w:color w:val="000000"/>
                      <w:szCs w:val="18"/>
                      <w:lang w:val="en-US" w:eastAsia="zh-CN"/>
                    </w:rPr>
                    <w:t>杜绝重大质量事故发生</w:t>
                  </w:r>
                </w:p>
              </w:tc>
              <w:tc>
                <w:tcPr>
                  <w:tcW w:w="1245" w:type="dxa"/>
                </w:tcPr>
                <w:p>
                  <w:pPr>
                    <w:widowControl/>
                    <w:spacing w:before="40"/>
                    <w:jc w:val="left"/>
                    <w:rPr>
                      <w:rFonts w:hint="eastAsia"/>
                      <w:color w:val="000000"/>
                      <w:szCs w:val="18"/>
                      <w:lang w:eastAsia="zh-CN"/>
                    </w:rPr>
                  </w:pPr>
                  <w:r>
                    <w:rPr>
                      <w:rFonts w:hint="eastAsia"/>
                      <w:color w:val="000000"/>
                      <w:szCs w:val="18"/>
                      <w:lang w:eastAsia="zh-CN"/>
                    </w:rPr>
                    <w:t>每季度</w:t>
                  </w:r>
                </w:p>
              </w:tc>
              <w:tc>
                <w:tcPr>
                  <w:tcW w:w="3092" w:type="dxa"/>
                </w:tcPr>
                <w:p>
                  <w:pPr>
                    <w:widowControl/>
                    <w:spacing w:before="40"/>
                    <w:jc w:val="left"/>
                    <w:rPr>
                      <w:rFonts w:hint="eastAsia"/>
                      <w:color w:val="000000"/>
                      <w:szCs w:val="18"/>
                    </w:rPr>
                  </w:pPr>
                  <w:r>
                    <w:rPr>
                      <w:rFonts w:hint="eastAsia"/>
                      <w:color w:val="000000"/>
                      <w:szCs w:val="18"/>
                      <w:lang w:val="en-US" w:eastAsia="zh-CN"/>
                    </w:rPr>
                    <w:t>重大质量事故发生次数统计表</w:t>
                  </w:r>
                </w:p>
              </w:tc>
              <w:tc>
                <w:tcPr>
                  <w:tcW w:w="2444" w:type="dxa"/>
                </w:tcPr>
                <w:p>
                  <w:pPr>
                    <w:widowControl/>
                    <w:spacing w:before="40"/>
                    <w:jc w:val="left"/>
                    <w:rPr>
                      <w:rFonts w:hint="default"/>
                      <w:color w:val="000000"/>
                      <w:szCs w:val="18"/>
                      <w:lang w:val="en-US"/>
                    </w:rPr>
                  </w:pPr>
                  <w:r>
                    <w:rPr>
                      <w:rFonts w:hint="eastAsia"/>
                      <w:color w:val="000000"/>
                      <w:szCs w:val="18"/>
                      <w:lang w:val="en-US" w:eastAsia="zh-CN"/>
                    </w:rPr>
                    <w:t>重大质量事故发生0</w:t>
                  </w:r>
                </w:p>
              </w:tc>
            </w:tr>
          </w:tbl>
          <w:p>
            <w:pPr>
              <w:shd w:val="clear" w:color="auto" w:fill="C7DAF1" w:themeFill="text2" w:themeFillTint="32"/>
              <w:rPr>
                <w:color w:val="000000" w:themeColor="text1"/>
              </w:rPr>
            </w:pPr>
            <w:r>
              <w:rPr>
                <w:rFonts w:hint="eastAsia"/>
                <w:color w:val="000000" w:themeColor="text1"/>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pPr>
              <w:shd w:val="clear" w:color="auto" w:fill="C7DAF1" w:themeFill="text2" w:themeFillTint="32"/>
              <w:spacing w:before="40" w:after="40"/>
              <w:rPr>
                <w:color w:val="000000" w:themeColor="text1"/>
              </w:rPr>
            </w:pPr>
            <w:r>
              <w:rPr>
                <w:rFonts w:hint="eastAsia"/>
                <w:color w:val="000000" w:themeColor="text1"/>
              </w:rPr>
              <w:t xml:space="preserve">□组织结构变更 □部门职责变更 □主要原材料 □关键人员 □生产工艺/服务流程 </w:t>
            </w:r>
          </w:p>
          <w:p>
            <w:pPr>
              <w:shd w:val="clear" w:color="auto" w:fill="C7DAF1" w:themeFill="text2" w:themeFillTint="32"/>
              <w:spacing w:before="40" w:after="40"/>
              <w:rPr>
                <w:color w:val="000000" w:themeColor="text1"/>
              </w:rPr>
            </w:pPr>
            <w:r>
              <w:rPr>
                <w:rFonts w:hint="eastAsia"/>
                <w:color w:val="000000" w:themeColor="text1"/>
              </w:rPr>
              <w:t>□主要设备设施 □主要检测设备 □其他</w:t>
            </w:r>
          </w:p>
          <w:p>
            <w:pPr>
              <w:shd w:val="clear" w:color="auto" w:fill="C7DA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100" w:type="dxa"/>
            <w:vMerge w:val="restart"/>
            <w:shd w:val="clear" w:color="auto" w:fill="C7DAF1" w:themeFill="text2" w:themeFillTint="32"/>
          </w:tcPr>
          <w:p>
            <w:pPr>
              <w:shd w:val="clear" w:color="auto" w:fill="C7DAF1" w:themeFill="text2" w:themeFillTint="32"/>
            </w:pPr>
            <w:r>
              <w:rPr>
                <w:rFonts w:hint="eastAsia"/>
              </w:rPr>
              <w:t>支持</w:t>
            </w:r>
          </w:p>
        </w:tc>
        <w:tc>
          <w:tcPr>
            <w:tcW w:w="9487"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和生产操作/服务提供人员：</w:t>
            </w:r>
          </w:p>
          <w:p>
            <w:pPr>
              <w:shd w:val="clear" w:color="auto" w:fill="C7DA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9"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组织应确定、提供并维护所需的基础设施情况：</w:t>
            </w:r>
          </w:p>
          <w:p>
            <w:pPr>
              <w:spacing w:line="360" w:lineRule="auto"/>
              <w:rPr>
                <w:rFonts w:hint="eastAsia" w:ascii="宋体" w:hAnsi="宋体" w:eastAsia="宋体"/>
                <w:szCs w:val="21"/>
                <w:lang w:eastAsia="zh-CN"/>
              </w:rPr>
            </w:pPr>
            <w:r>
              <w:rPr>
                <w:rFonts w:hint="eastAsia" w:ascii="宋体" w:hAnsi="宋体"/>
                <w:szCs w:val="21"/>
              </w:rPr>
              <w:t>厂房面积</w:t>
            </w:r>
            <w:r>
              <w:rPr>
                <w:rFonts w:hint="eastAsia" w:ascii="宋体" w:hAnsi="宋体"/>
                <w:szCs w:val="21"/>
                <w:lang w:val="en-US" w:eastAsia="zh-CN"/>
              </w:rPr>
              <w:t>4</w:t>
            </w:r>
            <w:r>
              <w:rPr>
                <w:rFonts w:hint="eastAsia" w:ascii="宋体" w:hAnsi="宋体"/>
                <w:szCs w:val="21"/>
              </w:rPr>
              <w:t>000平方左右，</w:t>
            </w:r>
            <w:r>
              <w:rPr>
                <w:rFonts w:hint="eastAsia" w:ascii="宋体" w:hAnsi="宋体"/>
                <w:szCs w:val="21"/>
                <w:lang w:eastAsia="zh-CN"/>
              </w:rPr>
              <w:t>有</w:t>
            </w:r>
            <w:r>
              <w:rPr>
                <w:rFonts w:hint="eastAsia" w:ascii="宋体" w:hAnsi="宋体"/>
                <w:szCs w:val="21"/>
              </w:rPr>
              <w:t>车间、库房，办公场所面积</w:t>
            </w:r>
            <w:r>
              <w:rPr>
                <w:rFonts w:hint="eastAsia" w:ascii="宋体" w:hAnsi="宋体"/>
                <w:szCs w:val="21"/>
                <w:lang w:val="en-US" w:eastAsia="zh-CN"/>
              </w:rPr>
              <w:t>3</w:t>
            </w:r>
            <w:r>
              <w:rPr>
                <w:rFonts w:hint="eastAsia" w:ascii="宋体" w:hAnsi="宋体"/>
                <w:szCs w:val="21"/>
              </w:rPr>
              <w:t>00平方</w:t>
            </w:r>
            <w:r>
              <w:rPr>
                <w:rFonts w:hint="eastAsia" w:ascii="宋体" w:hAnsi="宋体"/>
                <w:szCs w:val="21"/>
                <w:lang w:eastAsia="zh-CN"/>
              </w:rPr>
              <w:t>米左右</w:t>
            </w:r>
          </w:p>
          <w:p>
            <w:pPr>
              <w:spacing w:line="360" w:lineRule="auto"/>
              <w:rPr>
                <w:rFonts w:hint="eastAsia" w:ascii="宋体" w:hAnsi="宋体" w:eastAsia="宋体" w:cs="Times New Roman"/>
                <w:szCs w:val="21"/>
              </w:rPr>
            </w:pPr>
            <w:r>
              <w:rPr>
                <w:rFonts w:hint="eastAsia"/>
                <w:color w:val="000000" w:themeColor="text1"/>
              </w:rPr>
              <w:t>主要生产设备有：</w:t>
            </w:r>
            <w:r>
              <w:rPr>
                <w:rFonts w:hint="eastAsia" w:ascii="宋体" w:hAnsi="宋体" w:eastAsia="宋体" w:cs="Times New Roman"/>
                <w:szCs w:val="21"/>
              </w:rPr>
              <w:t>数控车床、外圆磨床、平面磨床、内圆磨、龙门刨床、铣床、摇臂钻、剪板机</w:t>
            </w:r>
            <w:r>
              <w:rPr>
                <w:rFonts w:hint="eastAsia" w:ascii="宋体" w:hAnsi="宋体" w:eastAsia="宋体" w:cs="Times New Roman"/>
                <w:szCs w:val="21"/>
                <w:lang w:eastAsia="zh-CN"/>
              </w:rPr>
              <w:t>、焊机、手动工具</w:t>
            </w:r>
            <w:r>
              <w:rPr>
                <w:rFonts w:hint="eastAsia" w:ascii="宋体" w:hAnsi="宋体" w:eastAsia="宋体" w:cs="Times New Roman"/>
                <w:szCs w:val="21"/>
              </w:rPr>
              <w:t>等。</w:t>
            </w:r>
          </w:p>
          <w:p>
            <w:pPr>
              <w:shd w:val="clear" w:color="auto" w:fill="C7DAF1" w:themeFill="text2" w:themeFillTint="32"/>
              <w:rPr>
                <w:color w:val="000000" w:themeColor="text1"/>
              </w:rPr>
            </w:pPr>
            <w:r>
              <w:rPr>
                <w:rFonts w:hint="eastAsia"/>
                <w:color w:val="000000" w:themeColor="text1"/>
              </w:rPr>
              <w:t>特种设备</w:t>
            </w:r>
            <w:r>
              <w:rPr>
                <w:rFonts w:hint="eastAsia" w:ascii="Times New Roman" w:hAnsi="Times New Roman" w:eastAsia="宋体" w:cs="Times New Roman"/>
                <w:color w:val="000000" w:themeColor="text1"/>
              </w:rPr>
              <w:t>：</w:t>
            </w:r>
            <w:r>
              <w:rPr>
                <w:rFonts w:hint="eastAsia" w:ascii="Times New Roman" w:hAnsi="Times New Roman" w:eastAsia="宋体" w:cs="Times New Roman"/>
                <w:color w:val="000000" w:themeColor="text1"/>
                <w:lang w:eastAsia="zh-CN"/>
              </w:rPr>
              <w:t>行车</w:t>
            </w:r>
            <w:r>
              <w:rPr>
                <w:rFonts w:hint="eastAsia" w:ascii="Times New Roman" w:hAnsi="Times New Roman" w:eastAsia="宋体" w:cs="Times New Roman"/>
                <w:color w:val="000000" w:themeColor="text1"/>
                <w:lang w:val="en-US" w:eastAsia="zh-CN"/>
              </w:rPr>
              <w:t>5台（TS-H-006、H-005、H-001、H-002、H-007）、叉车一辆（编号：020302X3670）</w:t>
            </w:r>
            <w:r>
              <w:rPr>
                <w:rFonts w:hint="eastAsia" w:ascii="Times New Roman" w:hAnsi="Times New Roman" w:eastAsia="宋体" w:cs="Times New Roman"/>
                <w:color w:val="000000" w:themeColor="text1"/>
              </w:rPr>
              <w:t xml:space="preserve"> </w:t>
            </w:r>
          </w:p>
          <w:p>
            <w:pPr>
              <w:numPr>
                <w:ilvl w:val="0"/>
                <w:numId w:val="2"/>
              </w:numPr>
              <w:spacing w:line="360" w:lineRule="auto"/>
              <w:ind w:left="360" w:hanging="360"/>
              <w:rPr>
                <w:color w:val="000000" w:themeColor="text1"/>
              </w:rPr>
            </w:pPr>
            <w:r>
              <w:rPr>
                <w:rFonts w:hint="eastAsia"/>
              </w:rPr>
              <w:t>特种设备管理：</w:t>
            </w:r>
            <w:r>
              <w:rPr>
                <w:rFonts w:hint="eastAsia"/>
                <w:lang w:eastAsia="zh-CN"/>
              </w:rPr>
              <w:t>☑</w:t>
            </w:r>
            <w:r>
              <w:rPr>
                <w:rFonts w:hint="eastAsia"/>
                <w:color w:val="000000" w:themeColor="text1"/>
              </w:rPr>
              <w:t>进行了定期检验  □未进行定期检验的有：</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rPr>
                <w:color w:val="000000" w:themeColor="text1"/>
              </w:rPr>
            </w:pPr>
            <w:r>
              <w:rPr>
                <w:color w:val="000000" w:themeColor="text1"/>
              </w:rPr>
              <w:t xml:space="preserve">组织应确定、提供并维护所需的人为因素与物理因素环境，以运行过程并获得合格产品和服务。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rPr>
                <w:rFonts w:ascii="Times New Roman" w:hAnsi="Times New Roman" w:eastAsia="宋体" w:cs="Times New Roman"/>
              </w:rPr>
            </w:pPr>
            <w:r>
              <w:rPr>
                <w:rFonts w:hint="eastAsia"/>
              </w:rPr>
              <w:t>组织的</w:t>
            </w:r>
            <w:r>
              <w:t>监视和测量资源</w:t>
            </w:r>
            <w:r>
              <w:rPr>
                <w:rFonts w:hint="eastAsia"/>
              </w:rPr>
              <w:t>：</w:t>
            </w:r>
            <w:r>
              <w:rPr>
                <w:rFonts w:hint="eastAsia" w:ascii="Times New Roman" w:hAnsi="Times New Roman" w:eastAsia="宋体" w:cs="Times New Roman"/>
                <w:lang w:eastAsia="zh-CN"/>
              </w:rPr>
              <w:t>洛氏硬度计（出厂编号：</w:t>
            </w:r>
            <w:r>
              <w:rPr>
                <w:rFonts w:hint="eastAsia" w:ascii="Times New Roman" w:hAnsi="Times New Roman" w:eastAsia="宋体" w:cs="Times New Roman"/>
                <w:lang w:val="en-US" w:eastAsia="zh-CN"/>
              </w:rPr>
              <w:t>3585</w:t>
            </w:r>
            <w:r>
              <w:rPr>
                <w:rFonts w:hint="eastAsia" w:ascii="Times New Roman" w:hAnsi="Times New Roman" w:eastAsia="宋体" w:cs="Times New Roman"/>
                <w:lang w:eastAsia="zh-CN"/>
              </w:rPr>
              <w:t>）、外径千分尺（</w:t>
            </w:r>
            <w:r>
              <w:rPr>
                <w:rFonts w:hint="eastAsia" w:ascii="Times New Roman" w:hAnsi="Times New Roman" w:eastAsia="宋体" w:cs="Times New Roman"/>
                <w:lang w:val="en-US" w:eastAsia="zh-CN"/>
              </w:rPr>
              <w:t>054476</w:t>
            </w:r>
            <w:r>
              <w:rPr>
                <w:rFonts w:hint="eastAsia" w:ascii="Times New Roman" w:hAnsi="Times New Roman" w:eastAsia="宋体" w:cs="Times New Roman"/>
                <w:lang w:eastAsia="zh-CN"/>
              </w:rPr>
              <w:t>）、压力表（</w:t>
            </w:r>
            <w:r>
              <w:rPr>
                <w:rFonts w:hint="eastAsia" w:ascii="Times New Roman" w:hAnsi="Times New Roman" w:eastAsia="宋体" w:cs="Times New Roman"/>
                <w:lang w:val="en-US" w:eastAsia="zh-CN"/>
              </w:rPr>
              <w:t>OA1182477</w:t>
            </w:r>
            <w:r>
              <w:rPr>
                <w:rFonts w:hint="eastAsia" w:ascii="Times New Roman" w:hAnsi="Times New Roman" w:eastAsia="宋体" w:cs="Times New Roman"/>
                <w:lang w:eastAsia="zh-CN"/>
              </w:rPr>
              <w:t>）、电机综合测试仪（</w:t>
            </w:r>
            <w:r>
              <w:rPr>
                <w:rFonts w:hint="eastAsia" w:ascii="Times New Roman" w:hAnsi="Times New Roman" w:eastAsia="宋体" w:cs="Times New Roman"/>
                <w:lang w:val="en-US" w:eastAsia="zh-CN"/>
              </w:rPr>
              <w:t>90677</w:t>
            </w:r>
            <w:r>
              <w:rPr>
                <w:rFonts w:hint="eastAsia" w:ascii="Times New Roman" w:hAnsi="Times New Roman" w:eastAsia="宋体" w:cs="Times New Roman"/>
                <w:lang w:eastAsia="zh-CN"/>
              </w:rPr>
              <w:t>）、自动平衡记录仪（</w:t>
            </w:r>
            <w:r>
              <w:rPr>
                <w:rFonts w:hint="eastAsia" w:ascii="Times New Roman" w:hAnsi="Times New Roman" w:eastAsia="宋体" w:cs="Times New Roman"/>
                <w:lang w:val="en-US" w:eastAsia="zh-CN"/>
              </w:rPr>
              <w:t>ZB1854841</w:t>
            </w:r>
            <w:r>
              <w:rPr>
                <w:rFonts w:hint="eastAsia" w:ascii="Times New Roman" w:hAnsi="Times New Roman" w:eastAsia="宋体" w:cs="Times New Roman"/>
                <w:lang w:eastAsia="zh-CN"/>
              </w:rPr>
              <w:t>）、游标卡尺（</w:t>
            </w:r>
            <w:r>
              <w:rPr>
                <w:rFonts w:hint="eastAsia" w:ascii="Times New Roman" w:hAnsi="Times New Roman" w:eastAsia="宋体" w:cs="Times New Roman"/>
                <w:lang w:val="en-US" w:eastAsia="zh-CN"/>
              </w:rPr>
              <w:t>11081180</w:t>
            </w:r>
            <w:r>
              <w:rPr>
                <w:rFonts w:hint="eastAsia" w:ascii="Times New Roman" w:hAnsi="Times New Roman" w:eastAsia="宋体" w:cs="Times New Roman"/>
                <w:lang w:eastAsia="zh-CN"/>
              </w:rPr>
              <w:t>）、电子吊秤（</w:t>
            </w:r>
            <w:r>
              <w:rPr>
                <w:rFonts w:hint="eastAsia" w:ascii="Times New Roman" w:hAnsi="Times New Roman" w:eastAsia="宋体" w:cs="Times New Roman"/>
                <w:lang w:val="en-US" w:eastAsia="zh-CN"/>
              </w:rPr>
              <w:t>170131</w:t>
            </w:r>
            <w:r>
              <w:rPr>
                <w:rFonts w:hint="eastAsia" w:ascii="Times New Roman" w:hAnsi="Times New Roman" w:eastAsia="宋体" w:cs="Times New Roman"/>
                <w:lang w:eastAsia="zh-CN"/>
              </w:rPr>
              <w:t>）、压力传感器（管理编号：</w:t>
            </w:r>
            <w:r>
              <w:rPr>
                <w:rFonts w:hint="eastAsia" w:ascii="Times New Roman" w:hAnsi="Times New Roman" w:eastAsia="宋体" w:cs="Times New Roman"/>
                <w:lang w:val="en-US" w:eastAsia="zh-CN"/>
              </w:rPr>
              <w:t>20211105</w:t>
            </w:r>
            <w:r>
              <w:rPr>
                <w:rFonts w:hint="eastAsia" w:ascii="Times New Roman" w:hAnsi="Times New Roman" w:eastAsia="宋体" w:cs="Times New Roman"/>
                <w:lang w:eastAsia="zh-CN"/>
              </w:rPr>
              <w:t>）、液压万能试验机（</w:t>
            </w:r>
            <w:r>
              <w:rPr>
                <w:rFonts w:hint="eastAsia" w:ascii="Times New Roman" w:hAnsi="Times New Roman" w:eastAsia="宋体" w:cs="Times New Roman"/>
                <w:lang w:val="en-US" w:eastAsia="zh-CN"/>
              </w:rPr>
              <w:t>W4-87062</w:t>
            </w:r>
            <w:r>
              <w:rPr>
                <w:rFonts w:hint="eastAsia" w:ascii="Times New Roman" w:hAnsi="Times New Roman" w:eastAsia="宋体" w:cs="Times New Roman"/>
                <w:lang w:eastAsia="zh-CN"/>
              </w:rPr>
              <w:t>）、摆锤式冲击试验机（</w:t>
            </w:r>
            <w:r>
              <w:rPr>
                <w:rFonts w:hint="eastAsia" w:ascii="Times New Roman" w:hAnsi="Times New Roman" w:eastAsia="宋体" w:cs="Times New Roman"/>
                <w:lang w:val="en-US" w:eastAsia="zh-CN"/>
              </w:rPr>
              <w:t>246</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等 </w:t>
            </w:r>
          </w:p>
          <w:p>
            <w:pPr>
              <w:shd w:val="clear" w:color="auto" w:fill="C7DAF1" w:themeFill="text2" w:themeFillTint="32"/>
              <w:rPr>
                <w:rFonts w:ascii="Times New Roman" w:hAnsi="Times New Roman" w:eastAsia="宋体" w:cs="Times New Roman"/>
              </w:rPr>
            </w:pPr>
            <w:r>
              <w:rPr>
                <w:rFonts w:hint="eastAsia" w:ascii="Times New Roman" w:hAnsi="Times New Roman" w:eastAsia="宋体" w:cs="Times New Roman"/>
              </w:rPr>
              <w:t>计量器具的</w:t>
            </w:r>
            <w:r>
              <w:rPr>
                <w:rFonts w:ascii="Times New Roman" w:hAnsi="Times New Roman" w:eastAsia="宋体" w:cs="Times New Roman"/>
              </w:rPr>
              <w:t>测量溯</w:t>
            </w:r>
            <w:r>
              <w:rPr>
                <w:rFonts w:hint="eastAsia" w:ascii="Times New Roman" w:hAnsi="Times New Roman" w:eastAsia="宋体" w:cs="Times New Roman"/>
              </w:rPr>
              <w:t xml:space="preserve">源方法：外校 </w:t>
            </w:r>
          </w:p>
          <w:p>
            <w:pPr>
              <w:shd w:val="clear" w:color="auto" w:fill="C7DAF1" w:themeFill="text2" w:themeFillTint="32"/>
              <w:rPr>
                <w:rFonts w:ascii="Times New Roman" w:hAnsi="Times New Roman" w:eastAsia="宋体" w:cs="Times New Roman"/>
              </w:rPr>
            </w:pPr>
            <w:r>
              <w:rPr>
                <w:rFonts w:hint="eastAsia" w:ascii="Times New Roman" w:hAnsi="Times New Roman" w:eastAsia="宋体" w:cs="Times New Roman"/>
              </w:rPr>
              <w:t xml:space="preserve">国家强检的计量器具有： </w:t>
            </w:r>
          </w:p>
          <w:p>
            <w:pPr>
              <w:shd w:val="clear" w:color="auto" w:fill="C7DAF1" w:themeFill="text2" w:themeFillTint="32"/>
              <w:rPr>
                <w:u w:val="single"/>
              </w:rPr>
            </w:pPr>
            <w:r>
              <w:rPr>
                <w:rFonts w:hint="eastAsia"/>
              </w:rPr>
              <w:t xml:space="preserve">计量器具管理：满足要求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内部知识:■加工工艺■生产经验  </w:t>
            </w:r>
            <w:r>
              <w:rPr>
                <w:rFonts w:ascii="Wingdings" w:hAnsi="Wingdings"/>
              </w:rPr>
              <w:t></w:t>
            </w:r>
            <w:r>
              <w:rPr>
                <w:rFonts w:hint="eastAsia"/>
              </w:rPr>
              <w:t xml:space="preserve">管理软件  ■市场预测   </w:t>
            </w:r>
            <w:r>
              <w:rPr>
                <w:rFonts w:ascii="Wingdings" w:hAnsi="Wingdings"/>
              </w:rPr>
              <w:sym w:font="Wingdings" w:char="00A8"/>
            </w:r>
            <w:r>
              <w:rPr>
                <w:rFonts w:hint="eastAsia"/>
              </w:rPr>
              <w:t xml:space="preserve">企业标准 </w:t>
            </w:r>
            <w:r>
              <w:rPr>
                <w:rFonts w:ascii="Wingdings" w:hAnsi="Wingdings"/>
              </w:rPr>
              <w:t></w:t>
            </w:r>
            <w:r>
              <w:rPr>
                <w:rFonts w:hint="eastAsia"/>
              </w:rPr>
              <w:t>其他</w:t>
            </w:r>
          </w:p>
          <w:p>
            <w:pPr>
              <w:shd w:val="clear" w:color="auto" w:fill="C7DAF1" w:themeFill="text2" w:themeFillTint="32"/>
            </w:pPr>
            <w:r>
              <w:rPr>
                <w:rFonts w:hint="eastAsia"/>
              </w:rPr>
              <w:t xml:space="preserve">外部知识: ■顾客提供资料■产品标准  </w:t>
            </w:r>
            <w:r>
              <w:rPr>
                <w:rFonts w:ascii="Wingdings" w:hAnsi="Wingdings"/>
              </w:rPr>
              <w:t></w:t>
            </w:r>
            <w:r>
              <w:rPr>
                <w:rFonts w:hint="eastAsia"/>
              </w:rPr>
              <w:t xml:space="preserve">学术交流信息  </w:t>
            </w:r>
            <w:r>
              <w:rPr>
                <w:rFonts w:ascii="Wingdings" w:hAnsi="Wingdings"/>
              </w:rPr>
              <w:t></w:t>
            </w:r>
            <w:r>
              <w:rPr>
                <w:rFonts w:hint="eastAsia"/>
              </w:rPr>
              <w:t xml:space="preserve">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rPr>
                <w:color w:val="000000" w:themeColor="text1"/>
              </w:rPr>
            </w:pPr>
            <w:r>
              <w:rPr>
                <w:rFonts w:hint="eastAsia"/>
              </w:rPr>
              <w:t>通过 ■招聘 ■换岗 ■</w:t>
            </w:r>
            <w:r>
              <w:rPr>
                <w:rFonts w:hint="eastAsia"/>
                <w:color w:val="000000" w:themeColor="text1"/>
              </w:rPr>
              <w:t xml:space="preserve">培训  ■考核   </w:t>
            </w:r>
            <w:r>
              <w:rPr>
                <w:rFonts w:ascii="Wingdings" w:hAnsi="Wingdings"/>
                <w:color w:val="000000" w:themeColor="text1"/>
              </w:rPr>
              <w:t></w:t>
            </w:r>
            <w:r>
              <w:rPr>
                <w:rFonts w:hint="eastAsia"/>
                <w:color w:val="000000" w:themeColor="text1"/>
              </w:rPr>
              <w:t xml:space="preserve">辅导  </w:t>
            </w:r>
            <w:r>
              <w:rPr>
                <w:rFonts w:ascii="Wingdings" w:hAnsi="Wingdings"/>
                <w:color w:val="000000" w:themeColor="text1"/>
              </w:rPr>
              <w:t></w:t>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对国家规定持证上岗的人员资质进行了有效的管理。</w:t>
            </w:r>
          </w:p>
          <w:p>
            <w:pPr>
              <w:shd w:val="clear" w:color="auto" w:fill="C7DAF1" w:themeFill="text2" w:themeFillTint="32"/>
              <w:rPr>
                <w:color w:val="000000" w:themeColor="text1"/>
              </w:rPr>
            </w:pPr>
            <w:r>
              <w:rPr>
                <w:rFonts w:hint="eastAsia"/>
                <w:color w:val="000000" w:themeColor="text1"/>
              </w:rPr>
              <w:t>特种作业人员：</w:t>
            </w:r>
            <w:r>
              <w:rPr>
                <w:rFonts w:ascii="Wingdings" w:hAnsi="Wingdings"/>
                <w:color w:val="000000" w:themeColor="text1"/>
              </w:rPr>
              <w:sym w:font="Wingdings" w:char="00A8"/>
            </w:r>
            <w:r>
              <w:rPr>
                <w:rFonts w:hint="eastAsia"/>
                <w:color w:val="000000" w:themeColor="text1"/>
              </w:rPr>
              <w:t xml:space="preserve">电工 </w:t>
            </w:r>
            <w:r>
              <w:rPr>
                <w:rFonts w:ascii="Wingdings" w:hAnsi="Wingdings"/>
                <w:color w:val="000000" w:themeColor="text1"/>
              </w:rPr>
              <w:sym w:font="Wingdings" w:char="00FE"/>
            </w:r>
            <w:r>
              <w:rPr>
                <w:rFonts w:hint="eastAsia"/>
                <w:color w:val="000000" w:themeColor="text1"/>
              </w:rPr>
              <w:t xml:space="preserve">焊工  </w:t>
            </w:r>
            <w:r>
              <w:rPr>
                <w:rFonts w:ascii="Wingdings" w:hAnsi="Wingdings"/>
                <w:color w:val="000000" w:themeColor="text1"/>
              </w:rPr>
              <w:t></w:t>
            </w:r>
            <w:r>
              <w:rPr>
                <w:rFonts w:hint="eastAsia"/>
                <w:color w:val="000000" w:themeColor="text1"/>
              </w:rPr>
              <w:t xml:space="preserve">危化品作业  </w:t>
            </w:r>
            <w:r>
              <w:rPr>
                <w:rFonts w:ascii="Wingdings" w:hAnsi="Wingdings"/>
                <w:color w:val="000000" w:themeColor="text1"/>
              </w:rPr>
              <w:t></w:t>
            </w:r>
            <w:r>
              <w:rPr>
                <w:rFonts w:hint="eastAsia"/>
                <w:color w:val="000000" w:themeColor="text1"/>
              </w:rPr>
              <w:t xml:space="preserve">制冷工   </w:t>
            </w:r>
            <w:r>
              <w:rPr>
                <w:rFonts w:ascii="Wingdings" w:hAnsi="Wingdings"/>
                <w:color w:val="000000" w:themeColor="text1"/>
              </w:rPr>
              <w:t></w:t>
            </w:r>
            <w:r>
              <w:rPr>
                <w:rFonts w:hint="eastAsia"/>
                <w:color w:val="000000" w:themeColor="text1"/>
              </w:rPr>
              <w:t xml:space="preserve">其他  </w:t>
            </w:r>
          </w:p>
          <w:p>
            <w:pPr>
              <w:shd w:val="clear" w:color="auto" w:fill="C7DAF1" w:themeFill="text2" w:themeFillTint="32"/>
            </w:pPr>
            <w:r>
              <w:rPr>
                <w:rFonts w:hint="eastAsia"/>
                <w:color w:val="000000" w:themeColor="text1"/>
              </w:rPr>
              <w:t>特种设备作业人员：</w:t>
            </w:r>
            <w:r>
              <w:rPr>
                <w:rFonts w:ascii="Wingdings" w:hAnsi="Wingdings"/>
                <w:color w:val="000000" w:themeColor="text1"/>
              </w:rPr>
              <w:sym w:font="Wingdings" w:char="00FE"/>
            </w:r>
            <w:r>
              <w:rPr>
                <w:rFonts w:hint="eastAsia"/>
                <w:color w:val="000000" w:themeColor="text1"/>
              </w:rPr>
              <w:t>叉车工</w:t>
            </w:r>
            <w:r>
              <w:rPr>
                <w:rFonts w:ascii="Wingdings" w:hAnsi="Wingdings"/>
                <w:color w:val="000000" w:themeColor="text1"/>
              </w:rPr>
              <w:t></w:t>
            </w:r>
            <w:r>
              <w:rPr>
                <w:rFonts w:hint="eastAsia"/>
                <w:color w:val="000000" w:themeColor="text1"/>
              </w:rPr>
              <w:t>行车</w:t>
            </w:r>
            <w:r>
              <w:rPr>
                <w:rFonts w:hint="eastAsia"/>
              </w:rPr>
              <w:t xml:space="preserve">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00" w:type="dxa"/>
            <w:vMerge w:val="restart"/>
            <w:shd w:val="clear" w:color="auto" w:fill="C7DAF1" w:themeFill="text2" w:themeFillTint="32"/>
          </w:tcPr>
          <w:p>
            <w:pPr>
              <w:shd w:val="clear" w:color="auto" w:fill="C7DAF1" w:themeFill="text2" w:themeFillTint="32"/>
            </w:pPr>
            <w:r>
              <w:rPr>
                <w:rFonts w:hint="eastAsia"/>
              </w:rPr>
              <w:t>运行</w:t>
            </w:r>
          </w:p>
        </w:tc>
        <w:tc>
          <w:tcPr>
            <w:tcW w:w="9487"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■工艺流程图■作业文件  </w:t>
            </w:r>
            <w:r>
              <w:rPr>
                <w:rFonts w:ascii="Wingdings" w:hAnsi="Wingdings"/>
              </w:rPr>
              <w:t></w:t>
            </w:r>
            <w:r>
              <w:rPr>
                <w:rFonts w:hint="eastAsia"/>
              </w:rPr>
              <w:t>检测计划   ■接收准则</w:t>
            </w:r>
            <w:r>
              <w:rPr>
                <w:rFonts w:hint="eastAsia"/>
                <w:color w:val="0000FF"/>
              </w:rPr>
              <w:t xml:space="preserve">  </w:t>
            </w:r>
            <w:r>
              <w:rPr>
                <w:rFonts w:ascii="Wingdings" w:hAnsi="Wingdings"/>
              </w:rPr>
              <w:t></w:t>
            </w:r>
            <w:r>
              <w:rPr>
                <w:rFonts w:hint="eastAsia"/>
                <w:color w:val="000000" w:themeColor="text1"/>
              </w:rPr>
              <w:t xml:space="preserve">外包控制要求 </w:t>
            </w:r>
            <w:r>
              <w:rPr>
                <w:rFonts w:hint="eastAsia"/>
              </w:rPr>
              <w:t xml:space="preserve">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sym w:font="Wingdings" w:char="00FE"/>
            </w:r>
            <w:r>
              <w:rPr>
                <w:rFonts w:hint="eastAsia"/>
              </w:rPr>
              <w:t xml:space="preserve">企业标准■顾客要求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组织建立、实施和保持了适当的设计和开发过程，以确保后续的产品和服务的提供。</w:t>
            </w:r>
          </w:p>
          <w:p>
            <w:pPr>
              <w:shd w:val="clear" w:color="auto" w:fill="C7DAF1" w:themeFill="text2" w:themeFillTint="32"/>
              <w:rPr>
                <w:color w:val="000000" w:themeColor="text1"/>
              </w:rPr>
            </w:pPr>
            <w:r>
              <w:rPr>
                <w:rFonts w:hint="eastAsia"/>
                <w:color w:val="000000" w:themeColor="text1"/>
              </w:rPr>
              <w:t>审核期间内设计和开发新产品/项目名称：</w:t>
            </w:r>
          </w:p>
          <w:p>
            <w:pPr>
              <w:shd w:val="clear" w:color="auto" w:fill="C7DAF1" w:themeFill="text2" w:themeFillTint="32"/>
              <w:rPr>
                <w:color w:val="000000" w:themeColor="text1"/>
              </w:rPr>
            </w:pPr>
            <w:r>
              <w:rPr>
                <w:rFonts w:hint="eastAsia"/>
                <w:color w:val="000000" w:themeColor="text1"/>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sym w:font="Wingdings" w:char="00A8"/>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ascii="Wingdings" w:hAnsi="Wingdings"/>
              </w:rPr>
              <w:t></w:t>
            </w:r>
            <w:r>
              <w:rPr>
                <w:rFonts w:hint="eastAsia"/>
              </w:rPr>
              <w:t xml:space="preserve">委托加工  ■顾客要求 ■运输  </w:t>
            </w:r>
            <w:r>
              <w:rPr>
                <w:rFonts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2271"/>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pPr>
                    <w:shd w:val="clear" w:color="auto" w:fill="C7DAF1" w:themeFill="text2" w:themeFillTint="32"/>
                    <w:jc w:val="left"/>
                  </w:pPr>
                  <w:r>
                    <w:rPr>
                      <w:rFonts w:hint="eastAsia"/>
                    </w:rPr>
                    <w:t>产品/服务名称</w:t>
                  </w:r>
                </w:p>
              </w:tc>
              <w:tc>
                <w:tcPr>
                  <w:tcW w:w="2271"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pPr>
                    <w:shd w:val="clear" w:color="auto" w:fill="C7DAF1" w:themeFill="text2" w:themeFillTint="32"/>
                    <w:jc w:val="left"/>
                  </w:pPr>
                  <w:r>
                    <w:rPr>
                      <w:rFonts w:ascii="宋体" w:hAnsi="宋体" w:cs="宋体"/>
                      <w:color w:val="000000"/>
                      <w:kern w:val="0"/>
                      <w:szCs w:val="21"/>
                    </w:rPr>
                    <w:t>矿用单体液压支柱、工业除尘器、金属结构、建筑用金属配件、模具、农业机械的制造</w:t>
                  </w:r>
                </w:p>
              </w:tc>
              <w:tc>
                <w:tcPr>
                  <w:tcW w:w="2271" w:type="dxa"/>
                </w:tcPr>
                <w:p>
                  <w:pPr>
                    <w:snapToGrid w:val="0"/>
                    <w:spacing w:line="280" w:lineRule="exact"/>
                    <w:rPr>
                      <w:rFonts w:hint="eastAsia"/>
                      <w:szCs w:val="21"/>
                      <w:lang w:eastAsia="zh-CN"/>
                    </w:rPr>
                  </w:pPr>
                  <w:r>
                    <w:rPr>
                      <w:rFonts w:hint="eastAsia"/>
                      <w:szCs w:val="21"/>
                    </w:rPr>
                    <w:t>关键过程：</w:t>
                  </w:r>
                  <w:r>
                    <w:rPr>
                      <w:rFonts w:hint="eastAsia"/>
                      <w:szCs w:val="21"/>
                      <w:lang w:eastAsia="zh-CN"/>
                    </w:rPr>
                    <w:t>机加过程、组装过程</w:t>
                  </w:r>
                </w:p>
                <w:p>
                  <w:pPr>
                    <w:snapToGrid w:val="0"/>
                    <w:spacing w:line="280" w:lineRule="exact"/>
                    <w:rPr>
                      <w:rFonts w:hint="eastAsia" w:eastAsia="宋体"/>
                      <w:szCs w:val="21"/>
                      <w:lang w:eastAsia="zh-CN"/>
                    </w:rPr>
                  </w:pPr>
                  <w:r>
                    <w:rPr>
                      <w:rFonts w:hint="eastAsia"/>
                      <w:szCs w:val="21"/>
                    </w:rPr>
                    <w:t>需确认/特殊过程：</w:t>
                  </w:r>
                  <w:r>
                    <w:rPr>
                      <w:rFonts w:hint="eastAsia"/>
                      <w:szCs w:val="21"/>
                      <w:lang w:eastAsia="zh-CN"/>
                    </w:rPr>
                    <w:t>焊接过程</w:t>
                  </w:r>
                </w:p>
                <w:p>
                  <w:pPr>
                    <w:shd w:val="clear" w:color="auto" w:fill="C7DAF1" w:themeFill="text2" w:themeFillTint="32"/>
                    <w:jc w:val="left"/>
                  </w:pPr>
                </w:p>
              </w:tc>
              <w:tc>
                <w:tcPr>
                  <w:tcW w:w="3265" w:type="dxa"/>
                </w:tcPr>
                <w:p>
                  <w:pPr>
                    <w:snapToGrid w:val="0"/>
                    <w:spacing w:line="280" w:lineRule="exact"/>
                    <w:rPr>
                      <w:szCs w:val="21"/>
                    </w:rPr>
                  </w:pPr>
                  <w:r>
                    <w:rPr>
                      <w:rFonts w:hint="eastAsia"/>
                      <w:szCs w:val="21"/>
                    </w:rPr>
                    <w:t>控制方法：拟定作业规范文件和过程监控记录等进行控制。</w:t>
                  </w:r>
                </w:p>
                <w:p>
                  <w:pPr>
                    <w:snapToGrid w:val="0"/>
                    <w:spacing w:line="280" w:lineRule="exact"/>
                  </w:pPr>
                  <w:r>
                    <w:rPr>
                      <w:rFonts w:hint="eastAsia"/>
                      <w:szCs w:val="21"/>
                    </w:rPr>
                    <w:t>主要质量要求：外观、尺寸、</w:t>
                  </w:r>
                  <w:r>
                    <w:rPr>
                      <w:rFonts w:hint="eastAsia"/>
                      <w:szCs w:val="21"/>
                      <w:lang w:eastAsia="zh-CN"/>
                    </w:rPr>
                    <w:t>性能</w:t>
                  </w:r>
                  <w:r>
                    <w:rPr>
                      <w:rFonts w:hint="eastAsia"/>
                      <w:szCs w:val="21"/>
                    </w:rPr>
                    <w:t>等</w:t>
                  </w:r>
                </w:p>
              </w:tc>
            </w:tr>
          </w:tbl>
          <w:p>
            <w:pPr>
              <w:snapToGrid w:val="0"/>
              <w:spacing w:line="280" w:lineRule="exact"/>
              <w:rPr>
                <w:szCs w:val="21"/>
              </w:rPr>
            </w:pPr>
            <w:r>
              <w:rPr>
                <w:rFonts w:hint="eastAsia"/>
              </w:rPr>
              <w:t>需要确认的过程：</w:t>
            </w:r>
            <w:r>
              <w:rPr>
                <w:rFonts w:hint="eastAsia"/>
                <w:szCs w:val="21"/>
                <w:lang w:eastAsia="zh-CN"/>
              </w:rPr>
              <w:t>焊接过程</w:t>
            </w:r>
          </w:p>
          <w:p>
            <w:pPr>
              <w:shd w:val="clear" w:color="auto" w:fill="C7DAF1" w:themeFill="text2" w:themeFillTint="32"/>
              <w:jc w:val="left"/>
            </w:pPr>
            <w:r>
              <w:rPr>
                <w:rFonts w:hint="eastAsia"/>
              </w:rPr>
              <w:t xml:space="preserve">■进行了有效的确认  </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jc w:val="left"/>
            </w:pPr>
            <w:r>
              <w:rPr>
                <w:rFonts w:hint="eastAsia"/>
              </w:rPr>
              <w:t xml:space="preserve">对生产和服务提供过程的控制■符合要求 </w:t>
            </w:r>
            <w:r>
              <w:rPr>
                <w:rFonts w:ascii="Wingdings" w:hAnsi="Wingdings"/>
              </w:rPr>
              <w:sym w:font="Wingdings" w:char="00A8"/>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采用的标识方式：■标签■标牌 ■区域 </w:t>
            </w:r>
            <w:r>
              <w:rPr>
                <w:rFonts w:ascii="Wingdings" w:hAnsi="Wingdings"/>
              </w:rPr>
              <w:t></w:t>
            </w:r>
            <w:r>
              <w:rPr>
                <w:rFonts w:hint="eastAsia"/>
              </w:rPr>
              <w:t>容器编号 ■人员编号■其他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w:t>
            </w:r>
            <w:r>
              <w:rPr>
                <w:rFonts w:ascii="Wingdings" w:hAnsi="Wingdings"/>
              </w:rPr>
              <w:t></w:t>
            </w:r>
            <w:r>
              <w:rPr>
                <w:rFonts w:hint="eastAsia"/>
              </w:rPr>
              <w:t xml:space="preserve">设备 </w:t>
            </w:r>
            <w:r>
              <w:rPr>
                <w:rFonts w:ascii="Wingdings" w:hAnsi="Wingdings"/>
              </w:rPr>
              <w:t></w:t>
            </w:r>
            <w:r>
              <w:rPr>
                <w:rFonts w:hint="eastAsia"/>
              </w:rPr>
              <w:t xml:space="preserve">检测设备■图纸 </w:t>
            </w:r>
            <w:r>
              <w:rPr>
                <w:rFonts w:ascii="Wingdings" w:hAnsi="Wingdings"/>
              </w:rPr>
              <w:t></w:t>
            </w:r>
            <w:r>
              <w:rPr>
                <w:rFonts w:hint="eastAsia"/>
              </w:rPr>
              <w:t>配方■个人信息■其他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w:t>
            </w:r>
            <w:r>
              <w:rPr>
                <w:rFonts w:ascii="Wingdings" w:hAnsi="Wingdings"/>
              </w:rPr>
              <w:t></w:t>
            </w:r>
            <w:r>
              <w:rPr>
                <w:rFonts w:hint="eastAsia"/>
              </w:rPr>
              <w:t xml:space="preserve">维修■赔偿 </w:t>
            </w:r>
            <w:r>
              <w:rPr>
                <w:rFonts w:ascii="Wingdings" w:hAnsi="Wingdings"/>
              </w:rPr>
              <w:t></w:t>
            </w:r>
            <w:r>
              <w:rPr>
                <w:rFonts w:hint="eastAsia"/>
              </w:rPr>
              <w:t xml:space="preserve">道歉 </w:t>
            </w:r>
            <w:r>
              <w:rPr>
                <w:rFonts w:ascii="Wingdings" w:hAnsi="Wingdings"/>
              </w:rPr>
              <w:sym w:font="Wingdings" w:char="00A8"/>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 ■过程检验 ■最终检验 </w:t>
            </w:r>
            <w:r>
              <w:rPr>
                <w:rFonts w:ascii="Wingdings" w:hAnsi="Wingdings"/>
              </w:rPr>
              <w:sym w:font="Wingdings" w:char="00FE"/>
            </w:r>
            <w:r>
              <w:rPr>
                <w:rFonts w:hint="eastAsia"/>
              </w:rPr>
              <w:t xml:space="preserve">型式检验 </w:t>
            </w:r>
            <w:r>
              <w:rPr>
                <w:rFonts w:ascii="Wingdings" w:hAnsi="Wingdings"/>
              </w:rPr>
              <w:t></w:t>
            </w:r>
            <w:r>
              <w:rPr>
                <w:rFonts w:hint="eastAsia"/>
              </w:rPr>
              <w:t>其他</w:t>
            </w:r>
          </w:p>
          <w:p>
            <w:pPr>
              <w:rPr>
                <w:rFonts w:hint="eastAsia" w:eastAsia="宋体"/>
                <w:color w:val="000000" w:themeColor="text1"/>
                <w:lang w:eastAsia="zh-CN"/>
              </w:rPr>
            </w:pPr>
            <w:r>
              <w:rPr>
                <w:rFonts w:hint="eastAsia"/>
              </w:rPr>
              <w:t>《型式检验报告》，如：</w:t>
            </w:r>
            <w:r>
              <w:rPr>
                <w:rFonts w:hint="eastAsia"/>
                <w:color w:val="000000" w:themeColor="text1"/>
                <w:lang w:eastAsia="zh-CN"/>
              </w:rPr>
              <w:t>安标延变检验</w:t>
            </w:r>
          </w:p>
          <w:p>
            <w:pPr>
              <w:rPr>
                <w:rFonts w:hint="eastAsia" w:ascii="Times New Roman" w:hAnsi="Times New Roman" w:eastAsia="宋体" w:cs="Times New Roman"/>
                <w:color w:val="000000" w:themeColor="text1"/>
                <w:lang w:eastAsia="zh-CN"/>
              </w:rPr>
            </w:pPr>
            <w:r>
              <w:rPr>
                <w:rFonts w:hint="eastAsia"/>
                <w:color w:val="000000" w:themeColor="text1"/>
              </w:rPr>
              <w:t>检测部门名称：</w:t>
            </w:r>
            <w:r>
              <w:rPr>
                <w:rFonts w:hint="eastAsia" w:ascii="Times New Roman" w:hAnsi="Times New Roman" w:eastAsia="宋体" w:cs="Times New Roman"/>
                <w:color w:val="000000" w:themeColor="text1"/>
                <w:lang w:eastAsia="zh-CN"/>
              </w:rPr>
              <w:t>煤炭科学研究院有限公司、国家安全生产北京矿山支护设备检测检验中心</w:t>
            </w:r>
          </w:p>
          <w:p>
            <w:pPr>
              <w:rPr>
                <w:rFonts w:hint="default"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rPr>
              <w:t>报告编号：</w:t>
            </w:r>
            <w:r>
              <w:rPr>
                <w:rFonts w:hint="eastAsia" w:ascii="Times New Roman" w:hAnsi="Times New Roman" w:eastAsia="宋体" w:cs="Times New Roman"/>
                <w:color w:val="000000" w:themeColor="text1"/>
                <w:lang w:val="en-US" w:eastAsia="zh-CN"/>
              </w:rPr>
              <w:t xml:space="preserve">201914113  </w:t>
            </w:r>
            <w:r>
              <w:rPr>
                <w:rFonts w:hint="eastAsia" w:ascii="Times New Roman" w:hAnsi="Times New Roman" w:eastAsia="宋体" w:cs="Times New Roman"/>
                <w:color w:val="000000" w:themeColor="text1"/>
              </w:rPr>
              <w:t>报告日期：</w:t>
            </w:r>
            <w:r>
              <w:rPr>
                <w:rFonts w:hint="eastAsia" w:ascii="Times New Roman" w:hAnsi="Times New Roman" w:eastAsia="宋体" w:cs="Times New Roman"/>
                <w:color w:val="000000" w:themeColor="text1"/>
                <w:lang w:val="en-US" w:eastAsia="zh-CN"/>
              </w:rPr>
              <w:t>2019年6月18日</w:t>
            </w:r>
          </w:p>
          <w:p>
            <w:pPr>
              <w:rPr>
                <w:rFonts w:hint="default"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rPr>
              <w:t>执行标准：</w:t>
            </w:r>
            <w:r>
              <w:rPr>
                <w:rFonts w:hint="eastAsia" w:ascii="Times New Roman" w:hAnsi="Times New Roman" w:eastAsia="宋体" w:cs="Times New Roman"/>
                <w:color w:val="000000" w:themeColor="text1"/>
                <w:lang w:val="en-US" w:eastAsia="zh-CN"/>
              </w:rPr>
              <w:t>MT/T112.1-2006矿用单位液压支柱 第一部分：通用要求》、《矿用产品安全标志审核发放实施规则 矿用支柱类产品》（ABGZ-MZ-EEG-2017-01）《小型矿用单位液压支柱（Q/TJ2-2012）》</w:t>
            </w:r>
          </w:p>
          <w:p>
            <w:pP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rPr>
              <w:t>结论：</w:t>
            </w:r>
            <w:r>
              <w:rPr>
                <w:rFonts w:hint="eastAsia" w:ascii="Times New Roman" w:hAnsi="Times New Roman" w:eastAsia="宋体" w:cs="Times New Roman"/>
                <w:color w:val="000000" w:themeColor="text1"/>
                <w:lang w:eastAsia="zh-CN"/>
              </w:rPr>
              <w:t>☑</w:t>
            </w:r>
            <w:r>
              <w:rPr>
                <w:rFonts w:hint="eastAsia" w:ascii="Times New Roman" w:hAnsi="Times New Roman" w:eastAsia="宋体" w:cs="Times New Roman"/>
                <w:color w:val="000000" w:themeColor="text1"/>
              </w:rPr>
              <w:t>合格 □不合格 □项目齐全 □项目不齐全</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00" w:type="dxa"/>
            <w:vMerge w:val="restart"/>
            <w:shd w:val="clear" w:color="auto" w:fill="C7DAF1" w:themeFill="text2" w:themeFillTint="32"/>
          </w:tcPr>
          <w:p>
            <w:pPr>
              <w:shd w:val="clear" w:color="auto" w:fill="C7DAF1" w:themeFill="text2" w:themeFillTint="32"/>
            </w:pPr>
            <w:r>
              <w:rPr>
                <w:rFonts w:hint="eastAsia"/>
              </w:rPr>
              <w:t>绩效评价</w:t>
            </w:r>
          </w:p>
        </w:tc>
        <w:tc>
          <w:tcPr>
            <w:tcW w:w="9487"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■顾客调查■顾客对交付产品或服务的反馈  </w:t>
            </w:r>
            <w:r>
              <w:rPr>
                <w:rFonts w:ascii="Wingdings" w:hAnsi="Wingdings"/>
              </w:rPr>
              <w:t></w:t>
            </w:r>
            <w:r>
              <w:rPr>
                <w:rFonts w:hint="eastAsia"/>
              </w:rPr>
              <w:t xml:space="preserve">顾客座谈■市场占有率分析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pacing w:line="360" w:lineRule="auto"/>
              <w:ind w:firstLine="420" w:firstLineChars="20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w:t>
            </w:r>
            <w:r>
              <w:rPr>
                <w:rFonts w:hint="eastAsia"/>
                <w:color w:val="000000"/>
                <w:szCs w:val="18"/>
                <w:lang w:val="en-US" w:eastAsia="zh-CN"/>
              </w:rPr>
              <w:t>2021 年 10 月 27 日-28 日</w:t>
            </w:r>
            <w:r>
              <w:rPr>
                <w:rFonts w:hint="eastAsia"/>
                <w:color w:val="000000" w:themeColor="text1"/>
              </w:rPr>
              <w:t>实施了质量管理体系内部审核，对质量管理体系的符合性和有效性进行了审核。内审发现的 1 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最高管理者已按策划的时间间隔，在</w:t>
            </w:r>
            <w:r>
              <w:rPr>
                <w:rFonts w:hint="eastAsia"/>
                <w:color w:val="000000"/>
                <w:szCs w:val="18"/>
                <w:lang w:val="en-US" w:eastAsia="zh-CN"/>
              </w:rPr>
              <w:t>2021 年 11 月 28 日</w:t>
            </w:r>
            <w:r>
              <w:rPr>
                <w:rFonts w:hint="eastAsia"/>
                <w:color w:val="000000" w:themeColor="text1"/>
              </w:rPr>
              <w:t>对组织的质量管理体系进行了</w:t>
            </w:r>
            <w:r>
              <w:rPr>
                <w:rFonts w:hint="eastAsia"/>
                <w:color w:val="000000" w:themeColor="text1"/>
                <w:lang w:eastAsia="zh-CN"/>
              </w:rPr>
              <w:t>管理</w:t>
            </w:r>
            <w:r>
              <w:rPr>
                <w:rFonts w:hint="eastAsia"/>
                <w:color w:val="000000" w:themeColor="text1"/>
              </w:rPr>
              <w:t>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00" w:type="dxa"/>
            <w:vMerge w:val="restart"/>
            <w:shd w:val="clear" w:color="auto" w:fill="C7DAF1" w:themeFill="text2" w:themeFillTint="32"/>
          </w:tcPr>
          <w:p>
            <w:pPr>
              <w:shd w:val="clear" w:color="auto" w:fill="C7DAF1" w:themeFill="text2" w:themeFillTint="32"/>
            </w:pPr>
            <w:r>
              <w:rPr>
                <w:rFonts w:hint="eastAsia"/>
              </w:rPr>
              <w:t>改进</w:t>
            </w:r>
          </w:p>
        </w:tc>
        <w:tc>
          <w:tcPr>
            <w:tcW w:w="9487"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00" w:type="dxa"/>
            <w:vMerge w:val="continue"/>
            <w:shd w:val="clear" w:color="auto" w:fill="C7DAF1" w:themeFill="text2" w:themeFillTint="32"/>
          </w:tcPr>
          <w:p>
            <w:pPr>
              <w:shd w:val="clear" w:color="auto" w:fill="C7DAF1" w:themeFill="text2" w:themeFillTint="32"/>
            </w:pPr>
          </w:p>
        </w:tc>
        <w:tc>
          <w:tcPr>
            <w:tcW w:w="9487"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shd w:val="clear" w:color="auto" w:fill="C7DAF1" w:themeFill="text2" w:themeFillTint="32"/>
          </w:tcPr>
          <w:p>
            <w:pPr>
              <w:shd w:val="clear" w:color="auto" w:fill="C7DAF1" w:themeFill="text2" w:themeFillTint="32"/>
              <w:rPr>
                <w:color w:val="000000" w:themeColor="text1"/>
              </w:rPr>
            </w:pPr>
          </w:p>
        </w:tc>
        <w:tc>
          <w:tcPr>
            <w:tcW w:w="9487"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 xml:space="preserve">组织持续改进了质量管理体系的适宜性、充分性和有效性。 </w:t>
            </w:r>
          </w:p>
          <w:p>
            <w:pPr>
              <w:shd w:val="clear" w:color="auto" w:fill="C7DA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pPr>
        <w:pStyle w:val="2"/>
      </w:pPr>
    </w:p>
    <w:tbl>
      <w:tblPr>
        <w:tblStyle w:val="8"/>
        <w:tblW w:w="10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081"/>
        <w:gridCol w:w="815"/>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1070" w:type="dxa"/>
            <w:vAlign w:val="center"/>
          </w:tcPr>
          <w:p>
            <w:pPr>
              <w:shd w:val="clear" w:color="auto" w:fill="C7DAF1" w:themeFill="text2" w:themeFillTint="32"/>
              <w:rPr>
                <w:color w:val="000000" w:themeColor="text1"/>
                <w:lang w:eastAsia="ja-JP"/>
              </w:rPr>
            </w:pPr>
            <w:r>
              <w:rPr>
                <w:rFonts w:hint="eastAsia"/>
                <w:color w:val="000000" w:themeColor="text1"/>
              </w:rPr>
              <w:t>4.1</w:t>
            </w:r>
          </w:p>
        </w:tc>
        <w:tc>
          <w:tcPr>
            <w:tcW w:w="806" w:type="dxa"/>
            <w:vAlign w:val="center"/>
          </w:tcPr>
          <w:p>
            <w:pPr>
              <w:shd w:val="clear" w:color="auto" w:fill="C7DAF1" w:themeFill="text2" w:themeFillTint="32"/>
              <w:rPr>
                <w:color w:val="000000" w:themeColor="text1"/>
                <w:lang w:eastAsia="ja-JP"/>
              </w:rPr>
            </w:pPr>
            <w:r>
              <w:rPr>
                <w:rFonts w:hint="eastAsia"/>
                <w:color w:val="000000" w:themeColor="text1"/>
              </w:rPr>
              <w:t>4.2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4.3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4.4</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5.1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5.2</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5.3</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6.1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6.2</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6.3</w:t>
            </w: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1070" w:type="dxa"/>
            <w:vAlign w:val="center"/>
          </w:tcPr>
          <w:p>
            <w:pPr>
              <w:shd w:val="clear" w:color="auto" w:fill="C7DAF1" w:themeFill="text2" w:themeFillTint="32"/>
              <w:rPr>
                <w:color w:val="000000" w:themeColor="text1"/>
              </w:rPr>
            </w:pPr>
            <w:r>
              <w:rPr>
                <w:rFonts w:hint="eastAsia"/>
                <w:color w:val="000000" w:themeColor="text1"/>
              </w:rPr>
              <w:t>1</w:t>
            </w:r>
          </w:p>
        </w:tc>
        <w:tc>
          <w:tcPr>
            <w:tcW w:w="806" w:type="dxa"/>
            <w:vAlign w:val="center"/>
          </w:tcPr>
          <w:p>
            <w:pPr>
              <w:shd w:val="clear" w:color="auto" w:fill="C7DAF1" w:themeFill="text2" w:themeFillTint="32"/>
              <w:rPr>
                <w:color w:val="000000" w:themeColor="text1"/>
              </w:rPr>
            </w:pPr>
            <w:r>
              <w:rPr>
                <w:rFonts w:hint="eastAsia"/>
                <w:color w:val="000000" w:themeColor="text1"/>
              </w:rPr>
              <w:t>1</w:t>
            </w:r>
          </w:p>
        </w:tc>
        <w:tc>
          <w:tcPr>
            <w:tcW w:w="650" w:type="dxa"/>
            <w:vAlign w:val="center"/>
          </w:tcPr>
          <w:p>
            <w:pPr>
              <w:shd w:val="clear" w:color="auto" w:fill="C7DAF1" w:themeFill="text2" w:themeFillTint="32"/>
              <w:rPr>
                <w:color w:val="000000" w:themeColor="text1"/>
              </w:rPr>
            </w:pPr>
            <w:r>
              <w:rPr>
                <w:rFonts w:hint="eastAsia"/>
                <w:color w:val="000000" w:themeColor="text1"/>
              </w:rPr>
              <w:t>1</w:t>
            </w:r>
          </w:p>
        </w:tc>
        <w:tc>
          <w:tcPr>
            <w:tcW w:w="649" w:type="dxa"/>
            <w:vAlign w:val="center"/>
          </w:tcPr>
          <w:p>
            <w:pPr>
              <w:shd w:val="clear" w:color="auto" w:fill="C7DAF1" w:themeFill="text2" w:themeFillTint="32"/>
              <w:rPr>
                <w:color w:val="000000" w:themeColor="text1"/>
              </w:rPr>
            </w:pPr>
            <w:r>
              <w:rPr>
                <w:rFonts w:hint="eastAsia"/>
                <w:color w:val="000000" w:themeColor="text1"/>
              </w:rPr>
              <w:t>1</w:t>
            </w:r>
          </w:p>
        </w:tc>
        <w:tc>
          <w:tcPr>
            <w:tcW w:w="650" w:type="dxa"/>
            <w:vAlign w:val="center"/>
          </w:tcPr>
          <w:p>
            <w:pPr>
              <w:shd w:val="clear" w:color="auto" w:fill="C7DAF1" w:themeFill="text2" w:themeFillTint="32"/>
              <w:rPr>
                <w:color w:val="000000" w:themeColor="text1"/>
              </w:rPr>
            </w:pPr>
            <w:r>
              <w:rPr>
                <w:rFonts w:hint="eastAsia"/>
                <w:color w:val="000000" w:themeColor="text1"/>
              </w:rPr>
              <w:t>1</w:t>
            </w:r>
          </w:p>
        </w:tc>
        <w:tc>
          <w:tcPr>
            <w:tcW w:w="650" w:type="dxa"/>
            <w:vAlign w:val="center"/>
          </w:tcPr>
          <w:p>
            <w:pPr>
              <w:shd w:val="clear" w:color="auto" w:fill="C7DAF1" w:themeFill="text2" w:themeFillTint="32"/>
              <w:rPr>
                <w:color w:val="000000" w:themeColor="text1"/>
              </w:rPr>
            </w:pPr>
            <w:r>
              <w:rPr>
                <w:rFonts w:hint="eastAsia"/>
                <w:color w:val="000000" w:themeColor="text1"/>
              </w:rPr>
              <w:t>1</w:t>
            </w:r>
          </w:p>
        </w:tc>
        <w:tc>
          <w:tcPr>
            <w:tcW w:w="649" w:type="dxa"/>
            <w:vAlign w:val="center"/>
          </w:tcPr>
          <w:p>
            <w:pPr>
              <w:shd w:val="clear" w:color="auto" w:fill="C7DAF1" w:themeFill="text2" w:themeFillTint="32"/>
              <w:rPr>
                <w:color w:val="000000" w:themeColor="text1"/>
              </w:rPr>
            </w:pPr>
            <w:r>
              <w:rPr>
                <w:rFonts w:hint="eastAsia"/>
                <w:color w:val="000000" w:themeColor="text1"/>
              </w:rPr>
              <w:t>1</w:t>
            </w:r>
          </w:p>
        </w:tc>
        <w:tc>
          <w:tcPr>
            <w:tcW w:w="650" w:type="dxa"/>
            <w:vAlign w:val="center"/>
          </w:tcPr>
          <w:p>
            <w:pPr>
              <w:shd w:val="clear" w:color="auto" w:fill="C7DAF1" w:themeFill="text2" w:themeFillTint="32"/>
              <w:rPr>
                <w:color w:val="000000" w:themeColor="text1"/>
              </w:rPr>
            </w:pPr>
            <w:r>
              <w:rPr>
                <w:rFonts w:hint="eastAsia"/>
                <w:color w:val="000000" w:themeColor="text1"/>
              </w:rPr>
              <w:t>1</w:t>
            </w:r>
          </w:p>
        </w:tc>
        <w:tc>
          <w:tcPr>
            <w:tcW w:w="650" w:type="dxa"/>
            <w:vAlign w:val="center"/>
          </w:tcPr>
          <w:p>
            <w:pPr>
              <w:shd w:val="clear" w:color="auto" w:fill="C7DAF1" w:themeFill="text2" w:themeFillTint="32"/>
              <w:rPr>
                <w:color w:val="000000" w:themeColor="text1"/>
              </w:rPr>
            </w:pPr>
            <w:r>
              <w:rPr>
                <w:rFonts w:hint="eastAsia"/>
                <w:color w:val="000000" w:themeColor="text1"/>
              </w:rPr>
              <w:t>1</w:t>
            </w:r>
          </w:p>
        </w:tc>
        <w:tc>
          <w:tcPr>
            <w:tcW w:w="649" w:type="dxa"/>
            <w:vAlign w:val="center"/>
          </w:tcPr>
          <w:p>
            <w:pPr>
              <w:shd w:val="clear" w:color="auto" w:fill="C7DAF1" w:themeFill="text2" w:themeFillTint="32"/>
              <w:rPr>
                <w:color w:val="000000" w:themeColor="text1"/>
              </w:rPr>
            </w:pPr>
            <w:r>
              <w:rPr>
                <w:rFonts w:hint="eastAsia"/>
                <w:color w:val="000000" w:themeColor="text1"/>
              </w:rPr>
              <w:t>1</w:t>
            </w: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rPr>
            </w:pPr>
            <w:r>
              <w:rPr>
                <w:rFonts w:hint="eastAsia"/>
                <w:color w:val="000000" w:themeColor="text1"/>
              </w:rPr>
              <w:t>不符合数量</w:t>
            </w:r>
          </w:p>
        </w:tc>
        <w:tc>
          <w:tcPr>
            <w:tcW w:w="1070" w:type="dxa"/>
            <w:vAlign w:val="center"/>
          </w:tcPr>
          <w:p>
            <w:pPr>
              <w:shd w:val="clear" w:color="auto" w:fill="C7DAF1" w:themeFill="text2" w:themeFillTint="32"/>
              <w:rPr>
                <w:color w:val="000000" w:themeColor="text1"/>
                <w:lang w:eastAsia="ja-JP"/>
              </w:rPr>
            </w:pPr>
          </w:p>
        </w:tc>
        <w:tc>
          <w:tcPr>
            <w:tcW w:w="806"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1070" w:type="dxa"/>
            <w:vAlign w:val="center"/>
          </w:tcPr>
          <w:p>
            <w:pPr>
              <w:shd w:val="clear" w:color="auto" w:fill="C7DAF1" w:themeFill="text2" w:themeFillTint="32"/>
              <w:rPr>
                <w:color w:val="000000" w:themeColor="text1"/>
                <w:lang w:eastAsia="ja-JP"/>
              </w:rPr>
            </w:pPr>
            <w:r>
              <w:rPr>
                <w:rFonts w:hint="eastAsia"/>
                <w:color w:val="000000" w:themeColor="text1"/>
              </w:rPr>
              <w:t>7.1</w:t>
            </w:r>
          </w:p>
        </w:tc>
        <w:tc>
          <w:tcPr>
            <w:tcW w:w="806" w:type="dxa"/>
            <w:vAlign w:val="center"/>
          </w:tcPr>
          <w:p>
            <w:pPr>
              <w:shd w:val="clear" w:color="auto" w:fill="C7DAF1" w:themeFill="text2" w:themeFillTint="32"/>
              <w:rPr>
                <w:color w:val="000000" w:themeColor="text1"/>
                <w:lang w:eastAsia="ja-JP"/>
              </w:rPr>
            </w:pPr>
            <w:r>
              <w:rPr>
                <w:rFonts w:hint="eastAsia"/>
                <w:color w:val="000000" w:themeColor="text1"/>
              </w:rPr>
              <w:t>7.2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7.4</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7.5</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8.2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8.3</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8.4</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8.5</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8.6</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1070" w:type="dxa"/>
            <w:vAlign w:val="center"/>
          </w:tcPr>
          <w:p>
            <w:pPr>
              <w:shd w:val="clear" w:color="auto" w:fill="C7DAF1" w:themeFill="text2" w:themeFillTint="32"/>
              <w:rPr>
                <w:color w:val="000000" w:themeColor="text1"/>
              </w:rPr>
            </w:pPr>
            <w:r>
              <w:rPr>
                <w:rFonts w:hint="eastAsia"/>
                <w:color w:val="000000" w:themeColor="text1"/>
              </w:rPr>
              <w:t>1</w:t>
            </w:r>
          </w:p>
        </w:tc>
        <w:tc>
          <w:tcPr>
            <w:tcW w:w="806" w:type="dxa"/>
            <w:vAlign w:val="center"/>
          </w:tcPr>
          <w:p>
            <w:pPr>
              <w:shd w:val="clear" w:color="auto" w:fill="C7DAF1" w:themeFill="text2" w:themeFillTint="32"/>
              <w:rPr>
                <w:color w:val="000000" w:themeColor="text1"/>
              </w:rPr>
            </w:pPr>
            <w:r>
              <w:rPr>
                <w:rFonts w:hint="eastAsia"/>
                <w:color w:val="000000" w:themeColor="text1"/>
              </w:rPr>
              <w:t>1</w:t>
            </w:r>
          </w:p>
        </w:tc>
        <w:tc>
          <w:tcPr>
            <w:tcW w:w="650" w:type="dxa"/>
            <w:vAlign w:val="center"/>
          </w:tcPr>
          <w:p>
            <w:pPr>
              <w:shd w:val="clear" w:color="auto" w:fill="C7DAF1" w:themeFill="text2" w:themeFillTint="32"/>
              <w:rPr>
                <w:color w:val="000000" w:themeColor="text1"/>
              </w:rPr>
            </w:pPr>
            <w:r>
              <w:rPr>
                <w:rFonts w:hint="eastAsia"/>
                <w:color w:val="000000" w:themeColor="text1"/>
              </w:rPr>
              <w:t>1</w:t>
            </w:r>
          </w:p>
        </w:tc>
        <w:tc>
          <w:tcPr>
            <w:tcW w:w="649" w:type="dxa"/>
            <w:vAlign w:val="center"/>
          </w:tcPr>
          <w:p>
            <w:pPr>
              <w:shd w:val="clear" w:color="auto" w:fill="C7DAF1" w:themeFill="text2" w:themeFillTint="32"/>
              <w:rPr>
                <w:color w:val="000000" w:themeColor="text1"/>
              </w:rPr>
            </w:pPr>
            <w:r>
              <w:rPr>
                <w:rFonts w:hint="eastAsia"/>
                <w:color w:val="000000" w:themeColor="text1"/>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3</w:t>
            </w:r>
          </w:p>
        </w:tc>
        <w:tc>
          <w:tcPr>
            <w:tcW w:w="650" w:type="dxa"/>
            <w:vAlign w:val="center"/>
          </w:tcPr>
          <w:p>
            <w:pPr>
              <w:shd w:val="clear" w:color="auto" w:fill="C7DAF1" w:themeFill="text2" w:themeFillTint="32"/>
              <w:rPr>
                <w:color w:val="000000" w:themeColor="text1"/>
              </w:rPr>
            </w:pPr>
            <w:r>
              <w:rPr>
                <w:rFonts w:hint="eastAsia"/>
                <w:color w:val="000000" w:themeColor="text1"/>
              </w:rPr>
              <w:t>1</w:t>
            </w:r>
          </w:p>
        </w:tc>
        <w:tc>
          <w:tcPr>
            <w:tcW w:w="649" w:type="dxa"/>
            <w:vAlign w:val="center"/>
          </w:tcPr>
          <w:p>
            <w:pPr>
              <w:shd w:val="clear" w:color="auto" w:fill="C7DAF1" w:themeFill="text2" w:themeFillTint="32"/>
              <w:rPr>
                <w:color w:val="000000" w:themeColor="text1"/>
              </w:rPr>
            </w:pPr>
            <w:r>
              <w:rPr>
                <w:rFonts w:hint="eastAsia"/>
                <w:color w:val="000000" w:themeColor="text1"/>
              </w:rPr>
              <w:t>1</w:t>
            </w:r>
          </w:p>
        </w:tc>
        <w:tc>
          <w:tcPr>
            <w:tcW w:w="650" w:type="dxa"/>
            <w:vAlign w:val="center"/>
          </w:tcPr>
          <w:p>
            <w:pPr>
              <w:shd w:val="clear" w:color="auto" w:fill="C7DAF1" w:themeFill="text2" w:themeFillTint="32"/>
              <w:rPr>
                <w:color w:val="000000" w:themeColor="text1"/>
              </w:rPr>
            </w:pPr>
            <w:r>
              <w:rPr>
                <w:rFonts w:hint="eastAsia"/>
                <w:color w:val="000000" w:themeColor="text1"/>
              </w:rPr>
              <w:t>4</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color w:val="000000" w:themeColor="text1"/>
              </w:rPr>
            </w:pPr>
            <w:r>
              <w:rPr>
                <w:rFonts w:hint="eastAsia"/>
                <w:color w:val="000000" w:themeColor="text1"/>
              </w:rPr>
              <w:t>1</w:t>
            </w:r>
          </w:p>
        </w:tc>
        <w:tc>
          <w:tcPr>
            <w:tcW w:w="650" w:type="dxa"/>
            <w:vAlign w:val="center"/>
          </w:tcPr>
          <w:p>
            <w:pPr>
              <w:shd w:val="clear" w:color="auto" w:fill="C7DAF1" w:themeFill="text2" w:themeFillTint="32"/>
              <w:rPr>
                <w:color w:val="000000" w:themeColor="text1"/>
              </w:rPr>
            </w:pPr>
            <w:r>
              <w:rPr>
                <w:rFonts w:hint="eastAsia"/>
                <w:color w:val="000000" w:themeColor="text1"/>
              </w:rPr>
              <w:t>1</w:t>
            </w:r>
          </w:p>
        </w:tc>
        <w:tc>
          <w:tcPr>
            <w:tcW w:w="650" w:type="dxa"/>
            <w:vAlign w:val="center"/>
          </w:tcPr>
          <w:p>
            <w:pPr>
              <w:shd w:val="clear" w:color="auto" w:fill="C7DAF1" w:themeFill="text2" w:themeFillTint="32"/>
              <w:rPr>
                <w:color w:val="000000" w:themeColor="text1"/>
              </w:rPr>
            </w:pPr>
            <w:r>
              <w:rPr>
                <w:rFonts w:hint="eastAsia"/>
                <w:color w:val="000000" w:themeColor="text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1070" w:type="dxa"/>
            <w:vAlign w:val="center"/>
          </w:tcPr>
          <w:p>
            <w:pPr>
              <w:shd w:val="clear" w:color="auto" w:fill="C7DAF1" w:themeFill="text2" w:themeFillTint="32"/>
              <w:rPr>
                <w:color w:val="000000" w:themeColor="text1"/>
              </w:rPr>
            </w:pPr>
          </w:p>
        </w:tc>
        <w:tc>
          <w:tcPr>
            <w:tcW w:w="806" w:type="dxa"/>
            <w:vAlign w:val="center"/>
          </w:tcPr>
          <w:p>
            <w:pPr>
              <w:shd w:val="clear" w:color="auto" w:fill="C7DAF1" w:themeFill="text2" w:themeFillTint="32"/>
              <w:rPr>
                <w:color w:val="000000" w:themeColor="text1"/>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color w:val="000000" w:themeColor="text1"/>
                <w:lang w:eastAsia="ja-JP"/>
              </w:rPr>
            </w:pPr>
          </w:p>
        </w:tc>
        <w:tc>
          <w:tcPr>
            <w:tcW w:w="649"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rFonts w:hint="eastAsia"/>
                <w:color w:val="000000" w:themeColor="text1"/>
              </w:rPr>
            </w:pPr>
          </w:p>
        </w:tc>
        <w:tc>
          <w:tcPr>
            <w:tcW w:w="649"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1070" w:type="dxa"/>
            <w:vAlign w:val="center"/>
          </w:tcPr>
          <w:p>
            <w:pPr>
              <w:shd w:val="clear" w:color="auto" w:fill="C7DAF1" w:themeFill="text2" w:themeFillTint="32"/>
              <w:rPr>
                <w:color w:val="000000" w:themeColor="text1"/>
                <w:lang w:eastAsia="ja-JP"/>
              </w:rPr>
            </w:pPr>
            <w:r>
              <w:rPr>
                <w:rFonts w:hint="eastAsia"/>
                <w:color w:val="000000" w:themeColor="text1"/>
              </w:rPr>
              <w:t>9.1</w:t>
            </w:r>
          </w:p>
        </w:tc>
        <w:tc>
          <w:tcPr>
            <w:tcW w:w="806" w:type="dxa"/>
            <w:vAlign w:val="center"/>
          </w:tcPr>
          <w:p>
            <w:pPr>
              <w:shd w:val="clear" w:color="auto" w:fill="C7DAF1" w:themeFill="text2" w:themeFillTint="32"/>
              <w:rPr>
                <w:color w:val="000000" w:themeColor="text1"/>
                <w:lang w:eastAsia="ja-JP"/>
              </w:rPr>
            </w:pPr>
            <w:r>
              <w:rPr>
                <w:rFonts w:hint="eastAsia"/>
                <w:color w:val="000000" w:themeColor="text1"/>
              </w:rPr>
              <w:t>9.2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9.3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10.1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10.2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10.3</w:t>
            </w: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1070" w:type="dxa"/>
            <w:vAlign w:val="center"/>
          </w:tcPr>
          <w:p>
            <w:pPr>
              <w:shd w:val="clear" w:color="auto" w:fill="C7DAF1" w:themeFill="text2" w:themeFillTint="32"/>
              <w:rPr>
                <w:color w:val="000000" w:themeColor="text1"/>
              </w:rPr>
            </w:pPr>
            <w:r>
              <w:rPr>
                <w:rFonts w:hint="eastAsia"/>
                <w:color w:val="000000" w:themeColor="text1"/>
              </w:rPr>
              <w:t>1</w:t>
            </w:r>
          </w:p>
        </w:tc>
        <w:tc>
          <w:tcPr>
            <w:tcW w:w="806" w:type="dxa"/>
            <w:vAlign w:val="center"/>
          </w:tcPr>
          <w:p>
            <w:pPr>
              <w:shd w:val="clear" w:color="auto" w:fill="C7DAF1" w:themeFill="text2" w:themeFillTint="32"/>
              <w:rPr>
                <w:color w:val="000000" w:themeColor="text1"/>
              </w:rPr>
            </w:pPr>
            <w:r>
              <w:rPr>
                <w:rFonts w:hint="eastAsia"/>
                <w:color w:val="000000" w:themeColor="text1"/>
              </w:rPr>
              <w:t>1</w:t>
            </w:r>
          </w:p>
        </w:tc>
        <w:tc>
          <w:tcPr>
            <w:tcW w:w="650" w:type="dxa"/>
            <w:vAlign w:val="center"/>
          </w:tcPr>
          <w:p>
            <w:pPr>
              <w:shd w:val="clear" w:color="auto" w:fill="C7DAF1" w:themeFill="text2" w:themeFillTint="32"/>
              <w:rPr>
                <w:color w:val="000000" w:themeColor="text1"/>
              </w:rPr>
            </w:pPr>
            <w:r>
              <w:rPr>
                <w:rFonts w:hint="eastAsia"/>
                <w:color w:val="000000" w:themeColor="text1"/>
              </w:rPr>
              <w:t>1</w:t>
            </w:r>
          </w:p>
        </w:tc>
        <w:tc>
          <w:tcPr>
            <w:tcW w:w="649" w:type="dxa"/>
            <w:vAlign w:val="center"/>
          </w:tcPr>
          <w:p>
            <w:pPr>
              <w:shd w:val="clear" w:color="auto" w:fill="C7DAF1" w:themeFill="text2" w:themeFillTint="32"/>
              <w:rPr>
                <w:color w:val="000000" w:themeColor="text1"/>
              </w:rPr>
            </w:pPr>
            <w:r>
              <w:rPr>
                <w:rFonts w:hint="eastAsia"/>
                <w:color w:val="000000" w:themeColor="text1"/>
              </w:rPr>
              <w:t>1</w:t>
            </w:r>
          </w:p>
        </w:tc>
        <w:tc>
          <w:tcPr>
            <w:tcW w:w="650" w:type="dxa"/>
            <w:vAlign w:val="center"/>
          </w:tcPr>
          <w:p>
            <w:pPr>
              <w:shd w:val="clear" w:color="auto" w:fill="C7DAF1" w:themeFill="text2" w:themeFillTint="32"/>
              <w:rPr>
                <w:color w:val="000000" w:themeColor="text1"/>
              </w:rPr>
            </w:pPr>
            <w:r>
              <w:rPr>
                <w:rFonts w:hint="eastAsia"/>
                <w:color w:val="000000" w:themeColor="text1"/>
              </w:rPr>
              <w:t>1</w:t>
            </w:r>
          </w:p>
        </w:tc>
        <w:tc>
          <w:tcPr>
            <w:tcW w:w="650" w:type="dxa"/>
            <w:vAlign w:val="center"/>
          </w:tcPr>
          <w:p>
            <w:pPr>
              <w:shd w:val="clear" w:color="auto" w:fill="C7DAF1" w:themeFill="text2" w:themeFillTint="32"/>
              <w:rPr>
                <w:color w:val="000000" w:themeColor="text1"/>
              </w:rPr>
            </w:pPr>
            <w:r>
              <w:rPr>
                <w:rFonts w:hint="eastAsia"/>
                <w:color w:val="000000" w:themeColor="text1"/>
              </w:rPr>
              <w:t>1</w:t>
            </w: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1070" w:type="dxa"/>
            <w:vAlign w:val="center"/>
          </w:tcPr>
          <w:p>
            <w:pPr>
              <w:shd w:val="clear" w:color="auto" w:fill="C7DAF1" w:themeFill="text2" w:themeFillTint="32"/>
              <w:rPr>
                <w:color w:val="000000" w:themeColor="text1"/>
              </w:rPr>
            </w:pPr>
          </w:p>
        </w:tc>
        <w:tc>
          <w:tcPr>
            <w:tcW w:w="806"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9C1D89B"/>
    <w:multiLevelType w:val="singleLevel"/>
    <w:tmpl w:val="59C1D89B"/>
    <w:lvl w:ilvl="0" w:tentative="0">
      <w:start w:val="3"/>
      <w:numFmt w:val="decimal"/>
      <w:suff w:val="nothing"/>
      <w:lvlText w:val="%1、"/>
      <w:lvlJc w:val="left"/>
    </w:lvl>
  </w:abstractNum>
  <w:num w:numId="1">
    <w:abstractNumId w:val="0"/>
  </w:num>
  <w:num w:numId="2">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5025029"/>
    <w:rsid w:val="30E03981"/>
    <w:rsid w:val="70BF674B"/>
    <w:rsid w:val="71AC534C"/>
    <w:rsid w:val="754E24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心</cp:lastModifiedBy>
  <cp:lastPrinted>2019-05-13T03:19:00Z</cp:lastPrinted>
  <dcterms:modified xsi:type="dcterms:W3CDTF">2022-02-19T14:02:26Z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