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河北远辰建设有限责任公司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1）提供的《重大危险源清单》有4项，但查看各部门识别的重大危险源只有2项，不一致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2）未提供2022年进行</w:t>
            </w:r>
            <w:r>
              <w:rPr>
                <w:rFonts w:hint="default"/>
              </w:rPr>
              <w:t>职业健康安全危险源识别与评价</w:t>
            </w:r>
            <w:r>
              <w:rPr>
                <w:rFonts w:hint="eastAsia"/>
                <w:lang w:val="en-US" w:eastAsia="zh-CN"/>
              </w:rPr>
              <w:t>的证据</w:t>
            </w:r>
          </w:p>
          <w:p>
            <w:pPr>
              <w:pStyle w:val="11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）提供的危险源辨识评价表（工程部），仅对作业过程进行了危害识别，还需补充识别如线路老化、违规吸烟、消防设施失效、电线乱拉乱扯、未配置触电保护装置、各种电器漏电、各种电器防护装置失灵、人员未佩戴防护用具等方面内容。</w:t>
            </w:r>
          </w:p>
          <w:p>
            <w:pPr>
              <w:pStyle w:val="11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1）提供的《重大环境因素清单》有3项，但查看各部门识别的重要环境因素只有1项，不一致。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2）未提供2022年进行环境因素</w:t>
            </w:r>
            <w:r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识别与评价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的证据——问题项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C2429"/>
    <w:rsid w:val="19496892"/>
    <w:rsid w:val="6C065750"/>
    <w:rsid w:val="6DEC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2022-03-29T05:31:36Z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