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w:t>
      </w:r>
      <w:r>
        <w:rPr>
          <w:rFonts w:hint="eastAsia"/>
          <w:sz w:val="32"/>
          <w:szCs w:val="32"/>
          <w:u w:val="single"/>
          <w:lang w:val="en-US" w:eastAsia="zh-CN"/>
        </w:rPr>
        <w:t>6</w:t>
      </w:r>
      <w:r>
        <w:rPr>
          <w:sz w:val="32"/>
          <w:szCs w:val="32"/>
          <w:u w:val="single"/>
        </w:rPr>
        <w:t>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河北东正枚机械有限公司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河北东正枚机械有限公司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景县城东开发区</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景县城东开发区</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申东清</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15075896198</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吴秀菊</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吴秀菊</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1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2022年02月</w:t>
            </w:r>
            <w:r>
              <w:rPr>
                <w:rFonts w:hint="eastAsia"/>
                <w:lang w:val="en-US" w:eastAsia="zh-CN"/>
              </w:rPr>
              <w:t>09</w:t>
            </w:r>
            <w:r>
              <w:rPr>
                <w:rFonts w:hint="eastAsia"/>
              </w:rPr>
              <w:t xml:space="preserve">日 </w:t>
            </w:r>
            <w:r>
              <w:rPr>
                <w:rFonts w:hint="eastAsia"/>
                <w:lang w:val="en-US" w:eastAsia="zh-CN"/>
              </w:rPr>
              <w:t>上</w:t>
            </w:r>
            <w:r>
              <w:rPr>
                <w:rFonts w:hint="eastAsia"/>
              </w:rPr>
              <w:t>午至2022年02月1</w:t>
            </w:r>
            <w:r>
              <w:rPr>
                <w:rFonts w:hint="eastAsia"/>
                <w:lang w:val="en-US" w:eastAsia="zh-CN"/>
              </w:rPr>
              <w:t>0</w:t>
            </w:r>
            <w:r>
              <w:rPr>
                <w:rFonts w:hint="eastAsia"/>
              </w:rPr>
              <w:t xml:space="preserve">日 </w:t>
            </w:r>
            <w:r>
              <w:rPr>
                <w:rFonts w:hint="eastAsia"/>
                <w:lang w:val="en-US" w:eastAsia="zh-CN"/>
              </w:rPr>
              <w:t>上</w:t>
            </w:r>
            <w:r>
              <w:rPr>
                <w:rFonts w:hint="eastAsia"/>
              </w:rPr>
              <w:t>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eastAsia"/>
                <w:sz w:val="21"/>
                <w:szCs w:val="21"/>
                <w:lang w:eastAsia="zh-CN"/>
              </w:rPr>
              <w:t>景县城东开发区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7056" w:type="dxa"/>
            <w:gridSpan w:val="3"/>
            <w:vMerge w:val="restart"/>
            <w:vAlign w:val="center"/>
          </w:tcPr>
          <w:p>
            <w:bookmarkStart w:id="19" w:name="审核范围"/>
            <w:r>
              <w:t>Q：</w:t>
            </w:r>
            <w:r>
              <w:rPr>
                <w:rFonts w:hint="eastAsia"/>
                <w:lang w:eastAsia="zh-CN"/>
              </w:rPr>
              <w:t>金属软管、金属补偿器、非金属补偿器</w:t>
            </w:r>
            <w:r>
              <w:t>的销售</w:t>
            </w:r>
          </w:p>
          <w:p>
            <w:r>
              <w:t>E：</w:t>
            </w:r>
            <w:r>
              <w:rPr>
                <w:rFonts w:hint="eastAsia"/>
                <w:lang w:eastAsia="zh-CN"/>
              </w:rPr>
              <w:t>金属软管、金属补偿器、非金属补偿器</w:t>
            </w:r>
            <w:r>
              <w:t>的销售所涉及场所的相关环境管理活动</w:t>
            </w:r>
          </w:p>
          <w:p>
            <w:r>
              <w:t>O：</w:t>
            </w:r>
            <w:r>
              <w:rPr>
                <w:rFonts w:hint="eastAsia"/>
                <w:lang w:eastAsia="zh-CN"/>
              </w:rPr>
              <w:t>金属软管、金属补偿器、非金属补偿器</w:t>
            </w:r>
            <w:r>
              <w:t>的销售所涉及场所的相关职业健康安全管理活动</w:t>
            </w:r>
            <w:bookmarkEnd w:id="19"/>
          </w:p>
        </w:tc>
        <w:tc>
          <w:tcPr>
            <w:tcW w:w="178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23" w:type="dxa"/>
            <w:vMerge w:val="continue"/>
            <w:vAlign w:val="center"/>
          </w:tcPr>
          <w:p/>
        </w:tc>
        <w:tc>
          <w:tcPr>
            <w:tcW w:w="7056" w:type="dxa"/>
            <w:gridSpan w:val="3"/>
            <w:vMerge w:val="continue"/>
            <w:vAlign w:val="center"/>
          </w:tcPr>
          <w:p/>
        </w:tc>
        <w:tc>
          <w:tcPr>
            <w:tcW w:w="1784" w:type="dxa"/>
            <w:vAlign w:val="center"/>
          </w:tcPr>
          <w:p>
            <w:bookmarkStart w:id="20" w:name="专业代码"/>
            <w:r>
              <w:t>Q：29.12.00</w:t>
            </w:r>
          </w:p>
          <w:p>
            <w:r>
              <w:t>E：29.12.00</w:t>
            </w:r>
          </w:p>
          <w:p>
            <w:r>
              <w:t>O：29.12.00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3314" w:type="dxa"/>
            <w:vAlign w:val="center"/>
          </w:tcPr>
          <w:p>
            <w:r>
              <w:rPr>
                <w:rFonts w:hint="eastAsia"/>
              </w:rPr>
              <w:t>管理体系运行已超过3个月</w:t>
            </w:r>
          </w:p>
        </w:tc>
        <w:tc>
          <w:tcPr>
            <w:tcW w:w="1784"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14" w:type="dxa"/>
            <w:vAlign w:val="center"/>
          </w:tcPr>
          <w:p>
            <w:r>
              <w:rPr>
                <w:rFonts w:hint="eastAsia"/>
              </w:rPr>
              <w:t>认证证书有效期</w:t>
            </w:r>
          </w:p>
          <w:p>
            <w:r>
              <w:rPr>
                <w:rFonts w:hint="eastAsia"/>
              </w:rPr>
              <w:t>（初审除外）</w:t>
            </w:r>
          </w:p>
        </w:tc>
        <w:tc>
          <w:tcPr>
            <w:tcW w:w="178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pPr w:leftFromText="180" w:rightFromText="180" w:vertAnchor="text" w:horzAnchor="page" w:tblpX="1134" w:tblpY="339"/>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70"/>
        <w:gridCol w:w="1790"/>
        <w:gridCol w:w="660"/>
        <w:gridCol w:w="2119"/>
        <w:gridCol w:w="17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7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9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6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119"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70" w:type="dxa"/>
          </w:tcPr>
          <w:p>
            <w:pPr>
              <w:spacing w:before="40" w:after="40"/>
              <w:rPr>
                <w:rFonts w:hint="eastAsia" w:eastAsia="宋体"/>
                <w:szCs w:val="21"/>
                <w:lang w:val="en-US" w:eastAsia="zh-CN"/>
              </w:rPr>
            </w:pPr>
            <w:r>
              <w:rPr>
                <w:rFonts w:hint="eastAsia"/>
                <w:sz w:val="21"/>
                <w:szCs w:val="21"/>
                <w:lang w:eastAsia="zh-CN"/>
              </w:rPr>
              <w:t>河北东正枚机械有限公司</w:t>
            </w:r>
            <w:r>
              <w:rPr>
                <w:rFonts w:hint="eastAsia"/>
                <w:sz w:val="21"/>
                <w:szCs w:val="21"/>
                <w:lang w:val="en-US" w:eastAsia="zh-CN"/>
              </w:rPr>
              <w:t>/</w:t>
            </w:r>
            <w:r>
              <w:rPr>
                <w:rFonts w:hint="eastAsia"/>
                <w:sz w:val="21"/>
                <w:szCs w:val="21"/>
                <w:lang w:eastAsia="zh-CN"/>
              </w:rPr>
              <w:t>景县城东开发区</w:t>
            </w:r>
          </w:p>
        </w:tc>
        <w:tc>
          <w:tcPr>
            <w:tcW w:w="1790" w:type="dxa"/>
          </w:tcPr>
          <w:p>
            <w:pPr>
              <w:spacing w:before="40" w:after="40"/>
              <w:rPr>
                <w:rFonts w:eastAsia="黑体"/>
                <w:szCs w:val="21"/>
                <w:lang w:val="de-DE" w:eastAsia="ja-JP"/>
              </w:rPr>
            </w:pPr>
            <w:r>
              <w:rPr>
                <w:rFonts w:hint="eastAsia"/>
                <w:sz w:val="21"/>
                <w:szCs w:val="21"/>
                <w:lang w:eastAsia="zh-CN"/>
              </w:rPr>
              <w:t>景县城东开发区</w:t>
            </w:r>
            <w:r>
              <w:rPr>
                <w:sz w:val="21"/>
                <w:szCs w:val="21"/>
              </w:rPr>
              <w:t xml:space="preserve">               </w:t>
            </w:r>
          </w:p>
        </w:tc>
        <w:tc>
          <w:tcPr>
            <w:tcW w:w="660"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119" w:type="dxa"/>
            <w:vAlign w:val="center"/>
          </w:tcPr>
          <w:p>
            <w:pPr>
              <w:pStyle w:val="20"/>
              <w:rPr>
                <w:rFonts w:eastAsia="黑体" w:cs="Arial"/>
                <w:sz w:val="21"/>
                <w:szCs w:val="21"/>
                <w:lang w:val="en-US" w:eastAsia="ja-JP"/>
              </w:rPr>
            </w:pPr>
            <w:r>
              <w:rPr>
                <w:rFonts w:hint="eastAsia" w:eastAsia="宋体"/>
                <w:sz w:val="21"/>
                <w:szCs w:val="21"/>
                <w:lang w:eastAsia="zh-CN"/>
              </w:rPr>
              <w:t>金属软管、金属补偿器、非金属补偿器</w:t>
            </w:r>
            <w:r>
              <w:rPr>
                <w:sz w:val="21"/>
                <w:szCs w:val="21"/>
              </w:rPr>
              <w:t>的销售</w:t>
            </w:r>
          </w:p>
        </w:tc>
        <w:tc>
          <w:tcPr>
            <w:tcW w:w="1738"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rPr>
      </w:pPr>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pPr>
              <w:jc w:val="left"/>
              <w:rPr>
                <w:sz w:val="20"/>
                <w:lang w:val="de-DE"/>
              </w:rPr>
            </w:pPr>
            <w:r>
              <w:rPr>
                <w:sz w:val="20"/>
                <w:lang w:val="de-DE"/>
              </w:rPr>
              <w:t>2021-N1QMS-1215052</w:t>
            </w:r>
          </w:p>
          <w:p>
            <w:pPr>
              <w:jc w:val="left"/>
              <w:rPr>
                <w:sz w:val="20"/>
                <w:lang w:val="de-DE"/>
              </w:rPr>
            </w:pPr>
            <w:r>
              <w:rPr>
                <w:sz w:val="20"/>
                <w:lang w:val="de-DE"/>
              </w:rPr>
              <w:t>2022-N0OHSMS-1215052</w:t>
            </w:r>
          </w:p>
          <w:p>
            <w:pPr>
              <w:jc w:val="left"/>
              <w:rPr>
                <w:rFonts w:ascii="Times New Roman" w:hAnsi="Times New Roman" w:eastAsia="宋体" w:cs="Times New Roman"/>
                <w:kern w:val="2"/>
                <w:sz w:val="20"/>
                <w:szCs w:val="24"/>
                <w:lang w:val="de-DE" w:eastAsia="zh-CN" w:bidi="ar-SA"/>
              </w:rPr>
            </w:pPr>
            <w:r>
              <w:rPr>
                <w:sz w:val="20"/>
                <w:lang w:val="de-DE"/>
              </w:rPr>
              <w:t>2020-N0EMS-1215052</w:t>
            </w:r>
          </w:p>
        </w:tc>
        <w:tc>
          <w:tcPr>
            <w:tcW w:w="2179" w:type="dxa"/>
            <w:vAlign w:val="center"/>
          </w:tcPr>
          <w:p>
            <w:pPr>
              <w:jc w:val="left"/>
              <w:rPr>
                <w:sz w:val="20"/>
                <w:lang w:val="de-DE"/>
              </w:rPr>
            </w:pPr>
            <w:r>
              <w:rPr>
                <w:sz w:val="20"/>
                <w:lang w:val="de-DE"/>
              </w:rPr>
              <w:t>Q:29.12.00</w:t>
            </w:r>
          </w:p>
          <w:p>
            <w:pPr>
              <w:jc w:val="left"/>
              <w:rPr>
                <w:rFonts w:ascii="Times New Roman" w:hAnsi="Times New Roman" w:eastAsia="宋体" w:cs="Times New Roman"/>
                <w:kern w:val="2"/>
                <w:sz w:val="20"/>
                <w:szCs w:val="24"/>
                <w:lang w:val="de-DE" w:eastAsia="zh-CN" w:bidi="ar-SA"/>
              </w:rPr>
            </w:pPr>
            <w:r>
              <w:rPr>
                <w:sz w:val="20"/>
                <w:lang w:val="de-DE"/>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201930</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lang w:val="en-US" w:eastAsia="zh-CN"/>
              </w:rPr>
            </w:pPr>
            <w:r>
              <w:rPr>
                <w:rFonts w:hint="eastAsia" w:eastAsia="宋体"/>
                <w:lang w:val="en-US" w:eastAsia="zh-CN"/>
              </w:rPr>
              <w:t>客户至上，优质服务，团结协作，求真务实、保护环境、立足安全</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2供销部门加大市场开拓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产品交付顾客验收合格率100%；</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w:t>
                  </w:r>
                  <w:r>
                    <w:rPr>
                      <w:rFonts w:hint="eastAsia" w:cs="Times New Roman"/>
                      <w:sz w:val="18"/>
                      <w:szCs w:val="18"/>
                      <w:lang w:val="en-US" w:eastAsia="zh-CN"/>
                    </w:rPr>
                    <w:t>6</w:t>
                  </w:r>
                  <w:r>
                    <w:rPr>
                      <w:rFonts w:hint="eastAsia" w:ascii="Times New Roman" w:hAnsi="Times New Roman" w:eastAsia="宋体" w:cs="Times New Roman"/>
                      <w:sz w:val="18"/>
                      <w:szCs w:val="18"/>
                    </w:rPr>
                    <w:t>%</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及时处理顾客反馈信息率100%</w:t>
                  </w:r>
                </w:p>
              </w:tc>
              <w:tc>
                <w:tcPr>
                  <w:tcW w:w="2482"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反馈处理</w:t>
                  </w:r>
                  <w:r>
                    <w:rPr>
                      <w:rFonts w:hint="eastAsia" w:ascii="Times New Roman" w:hAnsi="Times New Roman" w:eastAsia="宋体" w:cs="Times New Roman"/>
                      <w:sz w:val="18"/>
                      <w:szCs w:val="18"/>
                      <w:lang w:val="en-GB"/>
                    </w:rPr>
                    <w:t>次数/</w:t>
                  </w:r>
                  <w:r>
                    <w:rPr>
                      <w:rFonts w:hint="eastAsia" w:cs="Times New Roman"/>
                      <w:sz w:val="18"/>
                      <w:szCs w:val="18"/>
                      <w:lang w:val="en-US" w:eastAsia="zh-CN"/>
                    </w:rPr>
                    <w:t>总反馈数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sz w:val="20"/>
                      <w:lang w:eastAsia="zh-CN"/>
                    </w:rPr>
                    <w:t>金属软管、金属补偿器、非金属补偿器</w:t>
                  </w:r>
                  <w:r>
                    <w:rPr>
                      <w:sz w:val="20"/>
                    </w:rPr>
                    <w:t>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Ansi="楷体" w:eastAsia="楷体"/>
                <w:b/>
                <w:sz w:val="24"/>
                <w:szCs w:val="24"/>
              </w:rPr>
            </w:pPr>
            <w:r>
              <w:rPr>
                <w:rFonts w:hint="eastAsia" w:hAnsi="楷体" w:eastAsia="楷体"/>
                <w:b/>
                <w:sz w:val="24"/>
                <w:szCs w:val="24"/>
              </w:rPr>
              <w:t>客户至上，</w:t>
            </w:r>
            <w:r>
              <w:rPr>
                <w:rFonts w:hint="eastAsia" w:hAnsi="楷体" w:eastAsia="楷体"/>
                <w:b/>
                <w:sz w:val="24"/>
                <w:szCs w:val="24"/>
                <w:lang w:val="en-US" w:eastAsia="zh-CN"/>
              </w:rPr>
              <w:t>优质服务</w:t>
            </w:r>
            <w:r>
              <w:rPr>
                <w:rFonts w:hint="eastAsia" w:hAnsi="楷体" w:eastAsia="楷体"/>
                <w:b/>
                <w:sz w:val="24"/>
                <w:szCs w:val="24"/>
              </w:rPr>
              <w:t>，团结协作，求真务实</w:t>
            </w:r>
            <w:r>
              <w:rPr>
                <w:rFonts w:hAnsi="楷体" w:eastAsia="楷体"/>
                <w:b/>
                <w:sz w:val="24"/>
                <w:szCs w:val="24"/>
              </w:rPr>
              <w:t>、保护环境、立足安全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eastAsia="宋体" w:cs="宋体"/>
                      <w:b w:val="0"/>
                      <w:bCs w:val="0"/>
                      <w:kern w:val="0"/>
                      <w:sz w:val="21"/>
                      <w:szCs w:val="21"/>
                      <w:lang w:val="en-US" w:eastAsia="zh-CN" w:bidi="ar-SA"/>
                    </w:rPr>
                    <w:t>供销部门和产品部要严格按照售后服务管理规定，做好客户服务工作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固体废弃物分类处理率达100%</w:t>
                  </w:r>
                </w:p>
                <w:p>
                  <w:pPr>
                    <w:shd w:val="clear" w:color="auto" w:fill="EBF1DE" w:themeFill="accent3" w:themeFillTint="32"/>
                    <w:rPr>
                      <w:rFonts w:hint="eastAsia"/>
                      <w:lang w:eastAsia="zh-CN"/>
                    </w:rPr>
                  </w:pPr>
                  <w:r>
                    <w:rPr>
                      <w:rFonts w:hint="eastAsia" w:ascii="Times New Roman" w:hAnsi="Times New Roman" w:eastAsia="宋体" w:cs="Times New Roman"/>
                      <w:sz w:val="18"/>
                      <w:szCs w:val="18"/>
                      <w:lang w:val="en-US" w:eastAsia="zh-CN"/>
                    </w:rPr>
                    <w:t>火灾发生率0%</w:t>
                  </w:r>
                </w:p>
              </w:tc>
              <w:tc>
                <w:tcPr>
                  <w:tcW w:w="3137" w:type="dxa"/>
                  <w:shd w:val="clear" w:color="auto" w:fill="auto"/>
                  <w:vAlign w:val="center"/>
                </w:tcPr>
                <w:p>
                  <w:pPr>
                    <w:shd w:val="clear" w:color="auto" w:fill="EBF1DE" w:themeFill="accent3" w:themeFillTint="32"/>
                    <w:rPr>
                      <w:sz w:val="18"/>
                      <w:szCs w:val="18"/>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未对产品运输外包方施加环境影响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Ansi="楷体" w:eastAsia="楷体"/>
                <w:b/>
                <w:sz w:val="24"/>
                <w:szCs w:val="24"/>
              </w:rPr>
            </w:pPr>
            <w:r>
              <w:rPr>
                <w:rFonts w:hint="eastAsia" w:hAnsi="楷体" w:eastAsia="楷体"/>
                <w:b/>
                <w:sz w:val="24"/>
                <w:szCs w:val="24"/>
              </w:rPr>
              <w:t>客户至上，</w:t>
            </w:r>
            <w:r>
              <w:rPr>
                <w:rFonts w:hint="eastAsia" w:hAnsi="楷体" w:eastAsia="楷体"/>
                <w:b/>
                <w:sz w:val="24"/>
                <w:szCs w:val="24"/>
                <w:lang w:val="en-US" w:eastAsia="zh-CN"/>
              </w:rPr>
              <w:t>优质服务</w:t>
            </w:r>
            <w:r>
              <w:rPr>
                <w:rFonts w:hint="eastAsia" w:hAnsi="楷体" w:eastAsia="楷体"/>
                <w:b/>
                <w:sz w:val="24"/>
                <w:szCs w:val="24"/>
              </w:rPr>
              <w:t>，团结协作，求真务实</w:t>
            </w:r>
            <w:r>
              <w:rPr>
                <w:rFonts w:hAnsi="楷体" w:eastAsia="楷体"/>
                <w:b/>
                <w:sz w:val="24"/>
                <w:szCs w:val="24"/>
              </w:rPr>
              <w:t>、保护环境、立足安全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重大疫情、交通事故</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无重伤及死亡事故</w:t>
                  </w:r>
                </w:p>
                <w:p>
                  <w:r>
                    <w:rPr>
                      <w:rFonts w:hint="eastAsia" w:ascii="Times New Roman" w:hAnsi="Times New Roman" w:eastAsia="宋体" w:cs="Times New Roman"/>
                      <w:sz w:val="18"/>
                      <w:szCs w:val="18"/>
                      <w:lang w:val="en-US" w:eastAsia="zh-CN"/>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未对产品运输外包方施加职业健康安全影响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r>
                    <w:rPr>
                      <w:rFonts w:hint="eastAsia"/>
                      <w:lang w:eastAsia="zh-CN"/>
                    </w:rPr>
                    <w:t>、</w:t>
                  </w:r>
                  <w:r>
                    <w:rPr>
                      <w:rFonts w:hint="eastAsia"/>
                      <w:lang w:val="en-US" w:eastAsia="zh-CN"/>
                    </w:rPr>
                    <w:t>交通事故</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重大疫情</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管理方案、应急预案</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bookmarkStart w:id="24" w:name="_GoBack"/>
      <w:bookmarkEnd w:id="24"/>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5E2AD3"/>
    <w:rsid w:val="2244216D"/>
    <w:rsid w:val="48B347FC"/>
    <w:rsid w:val="4CE17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2022-02-18T09:03:41Z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