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25260" cy="9449435"/>
            <wp:effectExtent l="0" t="0" r="2540" b="12065"/>
            <wp:docPr id="1" name="图片 1" descr="新文档 2022-02-18 10.45.57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2-18 10.45.57_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5260" cy="944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762"/>
        <w:gridCol w:w="256"/>
        <w:gridCol w:w="294"/>
        <w:gridCol w:w="408"/>
        <w:gridCol w:w="272"/>
        <w:gridCol w:w="161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河北东正枚机械有限公司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景县城东开发区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景县城东开发区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申东清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15075896198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5300725@qq.com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0060-2022-QEO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Q：金属软管、金属补偿器、非金属补偿器的销售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O：金属软管、金属补偿器、非金属补偿器的销售所涉及场所的相关职业健康安全管理活动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E：金属软管、金属补偿器、非金属补偿器的销售所涉及场所的相关环境管理活动</w:t>
            </w:r>
            <w:bookmarkEnd w:id="1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1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GB/T45001-2020/ISO45001：2020标准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0"/>
              </w:rPr>
              <w:t>2022年02月09日 上午至2022年02月10日 上午</w:t>
            </w:r>
            <w:bookmarkEnd w:id="20"/>
            <w:r>
              <w:rPr>
                <w:rFonts w:hint="eastAsia"/>
                <w:b/>
                <w:sz w:val="20"/>
              </w:rPr>
              <w:t>(共</w:t>
            </w:r>
            <w:bookmarkStart w:id="21" w:name="审核天数"/>
            <w:r>
              <w:rPr>
                <w:rFonts w:hint="eastAsia"/>
                <w:b/>
                <w:sz w:val="20"/>
              </w:rPr>
              <w:t>1.5</w:t>
            </w:r>
            <w:bookmarkEnd w:id="2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8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吉洁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</w:tc>
        <w:tc>
          <w:tcPr>
            <w:tcW w:w="139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28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周文廷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</w:tc>
        <w:tc>
          <w:tcPr>
            <w:tcW w:w="139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28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bookmarkStart w:id="22" w:name="_GoBack" w:colFirst="3" w:colLast="4"/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杨园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2022-N0OHSMS-1215052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2020-N0EMS-1215052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</w:tc>
        <w:tc>
          <w:tcPr>
            <w:tcW w:w="139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28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bookmark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审核方案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2022.1.19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37"/>
        <w:gridCol w:w="6363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2022.2.9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9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环境因素/危险源辨识；合规性评价；监视和测量总则；管理评审；总则；持续改进；范围的确认、资质的确认、法律法规执行情况、质量抽查及顾客投诉情况、一阶段不符合验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O4.1/4.2/4.3/4.4/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5.1/5.2/5.3/6.1/6.2/7.1/9.1.1/10.1/10.3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审核Q4.1/4.2/4.3/4.4/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5.1/5.2/5.3/6.1/6.2/6.3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7.1/9.1.1/10.1/10.3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：组织的岗位、职责权限；目标；基础设施；运行环境；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监视和测量资源；</w:t>
            </w:r>
            <w:r>
              <w:rPr>
                <w:rFonts w:hint="eastAsia"/>
                <w:sz w:val="21"/>
                <w:szCs w:val="21"/>
              </w:rPr>
              <w:t>运行的策划和控制；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产品和服务要求；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外部提供的过程、产品和服务的控制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生产和服务提供的控制；标识和可追溯性；产品防护；</w:t>
            </w:r>
            <w:r>
              <w:rPr>
                <w:rFonts w:hint="eastAsia"/>
                <w:sz w:val="21"/>
                <w:szCs w:val="21"/>
              </w:rPr>
              <w:t>顾客或外部供方财产；交付后活动；变更的控制；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产品和服务的放行；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/6.2/6.1.2/8.1/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C审核Q8.2/8.4/9.1.2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/7.1.5/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8.1/8.3/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.1/8.5.2/8.5.3/8.5.4/8.5.5/8.5.6/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/8.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2022.2.10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：组织的岗位、职责权限；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目标、指标管理方案；</w:t>
            </w:r>
            <w:r>
              <w:rPr>
                <w:rFonts w:hint="eastAsia"/>
                <w:sz w:val="21"/>
                <w:szCs w:val="21"/>
              </w:rPr>
              <w:t>环境因素、危险源辨识、风险评价和控制措施的确定；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合规义务、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法律法规要求；人员、组织知识；能力；意识；沟通；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文件化信息；运行策划和控制；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；绩效的监视和测量；合规性评价；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数据分析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不合格及纠正措施控制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A审核QEO9.2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/6.2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/8.1/8.2/9.1.1/9.1.2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C 审核Q7.1.2/7.1.6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Q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E6.1.2/6.1.3/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/8.1/8.2/9.1.1/9.1.2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2"/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65A1"/>
    <w:rsid w:val="005A1141"/>
    <w:rsid w:val="00B565A1"/>
    <w:rsid w:val="00B83B6B"/>
    <w:rsid w:val="49175B3F"/>
    <w:rsid w:val="4F7E56D3"/>
    <w:rsid w:val="666C77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2671</Words>
  <Characters>3180</Characters>
  <Lines>353</Lines>
  <Paragraphs>417</Paragraphs>
  <TotalTime>2</TotalTime>
  <ScaleCrop>false</ScaleCrop>
  <LinksUpToDate>false</LinksUpToDate>
  <CharactersWithSpaces>5434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2022-02-18T09:04:00Z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