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河北东正枚机械有限公司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火灾、意外伤害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，制定管理方案，编制运行控制程序、劳动防护用品控制程序、消防控制程序、应急准备和响应控制程序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民法典、传染病法、劳动合同法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100965</wp:posOffset>
                  </wp:positionV>
                  <wp:extent cx="968375" cy="466090"/>
                  <wp:effectExtent l="0" t="0" r="0" b="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65405</wp:posOffset>
                  </wp:positionV>
                  <wp:extent cx="968375" cy="46609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1" w:name="_GoBack"/>
      <w:bookmarkEnd w:id="1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947105A"/>
    <w:rsid w:val="45440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2022-02-16T01:57:47Z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