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0041-2021-2022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334"/>
        <w:gridCol w:w="1170"/>
        <w:gridCol w:w="1020"/>
        <w:gridCol w:w="1193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河南宸华环保科技有限公司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bookmarkStart w:id="1" w:name="_GoBack"/>
            <w:r>
              <w:rPr>
                <w:rFonts w:hint="eastAsia"/>
                <w:sz w:val="18"/>
                <w:szCs w:val="18"/>
                <w:lang w:val="en-US" w:eastAsia="zh-CN"/>
              </w:rPr>
              <w:t>运维部</w:t>
            </w:r>
            <w:bookmarkEnd w:id="1"/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黑烟车智能抓拍系统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20210102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CH-HY100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级标准灯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北京市计量检测科学研究院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运维部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移动式机动车尾气遥感监测系统(气体)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20201226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YC-YGY100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标准气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±1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sz w:val="18"/>
                <w:szCs w:val="18"/>
              </w:rPr>
              <w:t>0%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河北省计量监督检测研究院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运维部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移动式机动车尾气遥感监测系统(气体)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A130433001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YC-YGY100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标准气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±1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sz w:val="18"/>
                <w:szCs w:val="18"/>
              </w:rPr>
              <w:t>0%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河北省计量监督检测研究院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运维部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固定水平机动车尾气·遥感监测系统(不透光)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XCYGS100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1801017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 =0.76%（K=2）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烟度计标准中性滤光片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 =0.5% 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北京市计量检测科学研究院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运维部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固定垂直式机动车尾气遥感监测系统(气体)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XC-YGC100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1904004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±10%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标准气±1.0%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北京市计量检测科学研究院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运维部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移动式机动车尾气遥感监测系统(不透光)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XC-YGY100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1803015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U =0.76%（K=2）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烟度计标准中性滤光片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 =0.5% 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北京市计量检测科学研究院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运维部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FB1035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SHP028120603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Ⅰ级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E2级砝码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河南省计量科学研究院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运维部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电子式绝缘电阻表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3132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1400786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兆欧表标准电阻器1.0级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北京市计量检测科学研究院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运维部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委托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北京市计量检测科学研究院、河南省计量科学研究院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运维部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3942080</wp:posOffset>
                  </wp:positionH>
                  <wp:positionV relativeFrom="paragraph">
                    <wp:posOffset>25400</wp:posOffset>
                  </wp:positionV>
                  <wp:extent cx="629285" cy="325755"/>
                  <wp:effectExtent l="0" t="0" r="5715" b="444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083" t="2414" r="8174" b="9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810895</wp:posOffset>
                  </wp:positionH>
                  <wp:positionV relativeFrom="paragraph">
                    <wp:posOffset>28575</wp:posOffset>
                  </wp:positionV>
                  <wp:extent cx="355600" cy="273050"/>
                  <wp:effectExtent l="0" t="0" r="0" b="635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0C5D38"/>
    <w:rsid w:val="3C3A1694"/>
    <w:rsid w:val="6C0739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2022-02-24T23:41:58Z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DAFE613B6E44454E9C06934346B0B0E8</vt:lpwstr>
  </property>
</Properties>
</file>