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bookmarkEnd w:id="0"/>
      <w:r>
        <w:rPr>
          <w:rFonts w:hint="eastAsia"/>
          <w:b/>
          <w:sz w:val="36"/>
          <w:szCs w:val="36"/>
          <w:u w:val="single"/>
          <w:lang w:eastAsia="zh-CN"/>
        </w:rPr>
        <w:t>四川永强昇辉家具有限公司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lang w:val="en-US" w:eastAsia="zh-CN"/>
        </w:rPr>
        <w:t>及销售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FE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客户合同的要求。</w:t>
      </w:r>
      <w:bookmarkStart w:id="6" w:name="_GoBack"/>
      <w:bookmarkEnd w:id="6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þ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四川永强昇辉家具有限公司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C4910"/>
    <w:rsid w:val="358E7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2022-01-24T01:52:15Z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