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营销部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倪祥申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骆路云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方小娥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0" w:name="审核日期"/>
            <w:r>
              <w:t>2022年01月</w:t>
            </w:r>
            <w:r>
              <w:rPr>
                <w:rFonts w:hint="eastAsia"/>
                <w:lang w:val="en-US" w:eastAsia="zh-CN"/>
              </w:rPr>
              <w:t>22</w:t>
            </w:r>
            <w: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t>午</w:t>
            </w:r>
            <w:bookmarkEnd w:id="0"/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~12:00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pStyle w:val="13"/>
              <w:spacing w:after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5.3/6.1.2/6.1.4/6.2/8.1/8.2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组织的岗位、职责和权限</w:t>
            </w:r>
          </w:p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ascii="宋体" w:cs="宋体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按照公司领导要求，做好公司职能和岗位的具体确定，对从事与销售有关的管理、执行和验证人员规定其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职责、权限及其相互关系，以实现公司管理方针和管理目标。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营销部负责人：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倪祥申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。在手册中确定了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营销部部门的的职能，人员职责、权限和相互关系。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询问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营销部人员，基本清楚本部门职</w:t>
            </w:r>
            <w:r>
              <w:rPr>
                <w:rFonts w:hint="eastAsia" w:ascii="宋体" w:hAnsi="宋体" w:cs="宋体"/>
                <w:szCs w:val="21"/>
              </w:rPr>
              <w:t>责。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现有上述管理人员配置满足要求，配有与工作相关的电脑、打/复印机、传真机等设施。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因素识别、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环境因素</w:t>
            </w:r>
            <w:r>
              <w:rPr>
                <w:rFonts w:hint="eastAsia" w:ascii="宋体" w:hAnsi="宋体" w:cs="宋体"/>
                <w:szCs w:val="21"/>
              </w:rPr>
              <w:t>识别</w:t>
            </w: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ascii="宋体" w:hAnsi="宋体" w:cs="宋体"/>
                <w:szCs w:val="21"/>
              </w:rPr>
              <w:t>6.1.2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提供了公司制定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环境因素识别和评价控制程序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/>
                <w:szCs w:val="21"/>
              </w:rPr>
              <w:t>确保公司在所有管理活动或服务过程中能最大限度、充分地进行</w:t>
            </w:r>
            <w:r>
              <w:rPr>
                <w:rFonts w:hint="eastAsia"/>
                <w:szCs w:val="21"/>
                <w:lang w:eastAsia="zh-CN"/>
              </w:rPr>
              <w:t>环境因素</w:t>
            </w:r>
            <w:r>
              <w:rPr>
                <w:rFonts w:hint="eastAsia"/>
                <w:szCs w:val="21"/>
              </w:rPr>
              <w:t>辨识与风险性评价，确定不可接受风险并及时更新，实现对</w:t>
            </w:r>
            <w:r>
              <w:rPr>
                <w:rFonts w:hint="eastAsia"/>
                <w:szCs w:val="21"/>
                <w:lang w:eastAsia="zh-CN"/>
              </w:rPr>
              <w:t>环境因素</w:t>
            </w:r>
            <w:r>
              <w:rPr>
                <w:rFonts w:hint="eastAsia"/>
                <w:szCs w:val="21"/>
              </w:rPr>
              <w:t>与不可接受风险的有效控制。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提供了“</w:t>
            </w:r>
            <w:r>
              <w:rPr>
                <w:rFonts w:hint="eastAsia"/>
                <w:szCs w:val="21"/>
                <w:lang w:eastAsia="zh-CN"/>
              </w:rPr>
              <w:t>环境因素汇总评价表</w:t>
            </w:r>
            <w:r>
              <w:rPr>
                <w:rFonts w:hint="eastAsia"/>
                <w:szCs w:val="21"/>
              </w:rPr>
              <w:t>”，</w:t>
            </w:r>
            <w:r>
              <w:rPr>
                <w:rFonts w:hint="eastAsia"/>
                <w:szCs w:val="21"/>
                <w:lang w:eastAsia="zh-CN"/>
              </w:rPr>
              <w:t>营销部</w:t>
            </w:r>
            <w:r>
              <w:rPr>
                <w:rFonts w:hint="eastAsia"/>
                <w:szCs w:val="21"/>
              </w:rPr>
              <w:t>门活动识别的</w:t>
            </w:r>
            <w:r>
              <w:rPr>
                <w:rFonts w:hint="eastAsia"/>
                <w:szCs w:val="21"/>
                <w:lang w:eastAsia="zh-CN"/>
              </w:rPr>
              <w:t>环境因素</w:t>
            </w:r>
            <w:r>
              <w:rPr>
                <w:rFonts w:hint="eastAsia"/>
                <w:szCs w:val="21"/>
              </w:rPr>
              <w:t>为纸的消耗（笔记本、打印纸、传真纸等）</w:t>
            </w:r>
            <w:r>
              <w:rPr>
                <w:rFonts w:hint="eastAsia" w:eastAsia="方正楷体简体"/>
                <w:sz w:val="22"/>
              </w:rPr>
              <w:t>、</w:t>
            </w:r>
            <w:r>
              <w:rPr>
                <w:rFonts w:hint="eastAsia"/>
                <w:szCs w:val="21"/>
              </w:rPr>
              <w:t>潜在的火灾、水的消耗、废水的排放等。</w:t>
            </w:r>
          </w:p>
          <w:p>
            <w:pPr>
              <w:spacing w:line="280" w:lineRule="exact"/>
              <w:ind w:firstLine="420" w:firstLineChars="20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营销部</w:t>
            </w:r>
            <w:r>
              <w:rPr>
                <w:rFonts w:hint="eastAsia"/>
                <w:szCs w:val="21"/>
              </w:rPr>
              <w:t>活动识别的</w:t>
            </w:r>
            <w:r>
              <w:rPr>
                <w:rFonts w:hint="eastAsia"/>
                <w:szCs w:val="21"/>
                <w:lang w:eastAsia="zh-CN"/>
              </w:rPr>
              <w:t>环境因素</w:t>
            </w:r>
            <w:r>
              <w:rPr>
                <w:rFonts w:hint="eastAsia"/>
                <w:szCs w:val="21"/>
              </w:rPr>
              <w:t>未纳入公司制定的不可接受</w:t>
            </w:r>
            <w:r>
              <w:rPr>
                <w:rFonts w:hint="eastAsia"/>
                <w:szCs w:val="21"/>
                <w:lang w:eastAsia="zh-CN"/>
              </w:rPr>
              <w:t>环境因素</w:t>
            </w:r>
            <w:r>
              <w:rPr>
                <w:rFonts w:hint="eastAsia"/>
                <w:szCs w:val="21"/>
              </w:rPr>
              <w:t>控制范围内。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spacing w:line="440" w:lineRule="exact"/>
              <w:jc w:val="lef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措施的策划</w:t>
            </w:r>
          </w:p>
        </w:tc>
        <w:tc>
          <w:tcPr>
            <w:tcW w:w="960" w:type="dxa"/>
            <w:vAlign w:val="top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6.1.4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在制定目标指标时，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负责制定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目标及管理方案，总经理负责批准。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管理方案中明确为实现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目标和指标的责任部门；规定实现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目标和指标的时间；具体措施和经费预算；都由总经理批准。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管理方案的实施，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每半年对方案实施情况进行检查跟踪，向总经理报告；一般在管理评审之前对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环境管理</w:t>
            </w:r>
            <w:r>
              <w:rPr>
                <w:rFonts w:hint="eastAsia" w:ascii="宋体" w:hAnsi="宋体" w:cs="宋体"/>
                <w:szCs w:val="21"/>
              </w:rPr>
              <w:t>目标及管理方案由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对其进行评审，并将完成情况以书面形式呈报管理者代表，以便提交管理评审。</w:t>
            </w:r>
            <w:bookmarkStart w:id="1" w:name="_GoBack"/>
            <w:bookmarkEnd w:id="1"/>
          </w:p>
          <w:p>
            <w:pPr>
              <w:spacing w:line="280" w:lineRule="exact"/>
              <w:ind w:firstLine="420" w:firstLineChars="20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相关的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环境因素</w:t>
            </w:r>
            <w:r>
              <w:rPr>
                <w:rFonts w:hint="eastAsia" w:ascii="宋体" w:hAnsi="宋体" w:cs="宋体"/>
                <w:szCs w:val="21"/>
              </w:rPr>
              <w:t>管理措施按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营销部</w:t>
            </w:r>
            <w:r>
              <w:rPr>
                <w:rFonts w:hint="eastAsia" w:ascii="宋体" w:hAnsi="宋体" w:cs="宋体"/>
                <w:szCs w:val="21"/>
              </w:rPr>
              <w:t>统一要求管理和实施，参加公司组织的安全教育；人员外出佩戴公司发的口罩；组织部门员工参加体检；加强对员工交通法规的宣传和自我保护意识；暑天人员外出配防暑用品等。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目标及其实现的策划总要求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rPr>
                <w:rFonts w:hint="eastAsia" w:ascii="等线" w:hAnsi="等线" w:eastAsia="等线" w:cs="等线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0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等线" w:hAnsi="等线" w:eastAsia="等线" w:cs="等线"/>
                <w:kern w:val="0"/>
                <w:sz w:val="21"/>
                <w:szCs w:val="21"/>
              </w:rPr>
              <w:t>6.2</w:t>
            </w:r>
          </w:p>
        </w:tc>
        <w:tc>
          <w:tcPr>
            <w:tcW w:w="0" w:type="auto"/>
            <w:vAlign w:val="center"/>
          </w:tcPr>
          <w:p>
            <w:pPr>
              <w:pStyle w:val="15"/>
              <w:widowControl/>
              <w:shd w:val="clear" w:color="auto" w:fill="FFFFFF"/>
              <w:snapToGrid w:val="0"/>
              <w:spacing w:line="300" w:lineRule="auto"/>
              <w:ind w:firstLineChars="0"/>
              <w:rPr>
                <w:rFonts w:hint="default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  <w:t>组织环境手册中规定的目标如下：</w:t>
            </w:r>
          </w:p>
          <w:p>
            <w:pPr>
              <w:pStyle w:val="15"/>
              <w:widowControl/>
              <w:shd w:val="clear" w:color="auto" w:fill="FFFFFF"/>
              <w:snapToGrid w:val="0"/>
              <w:spacing w:line="300" w:lineRule="auto"/>
              <w:ind w:firstLineChars="0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  <w:t>1）工业废水达标排放；2)废气达标排放；4)火灾事故为0；</w:t>
            </w:r>
          </w:p>
          <w:p>
            <w:pPr>
              <w:pStyle w:val="15"/>
              <w:widowControl/>
              <w:shd w:val="clear" w:color="auto" w:fill="FFFFFF"/>
              <w:snapToGrid w:val="0"/>
              <w:spacing w:line="300" w:lineRule="auto"/>
              <w:ind w:firstLineChars="0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  <w:t>5）危废控制率100%；6）危险化学品泄露事故为0。</w:t>
            </w:r>
          </w:p>
          <w:p>
            <w:pPr>
              <w:pStyle w:val="15"/>
              <w:widowControl/>
              <w:shd w:val="clear" w:color="auto" w:fill="FFFFFF"/>
              <w:snapToGrid w:val="0"/>
              <w:spacing w:line="300" w:lineRule="auto"/>
              <w:ind w:firstLineChars="0"/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  <w:t>部门分解目标与组织目标和方针整体一致，可测量，并传达到部门相关人员，必要时适时更新，目前无变化。</w:t>
            </w:r>
          </w:p>
          <w:p>
            <w:pPr>
              <w:spacing w:line="360" w:lineRule="auto"/>
              <w:ind w:firstLine="420" w:firstLineChars="200"/>
              <w:rPr>
                <w:rFonts w:hint="eastAsia" w:ascii="等线" w:hAnsi="等线" w:eastAsia="等线" w:cs="等线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lang w:val="en-US" w:eastAsia="zh-CN" w:bidi="ar-SA"/>
              </w:rPr>
              <w:t>提供《2022年环境目标指标一览表》、2021年度1-12月《环境目标、指标分解及完成情况表》等显示，研发部涉及的目标均已达成，符合监视要求。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top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运行策划和控制</w:t>
            </w:r>
          </w:p>
          <w:p>
            <w:pPr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0" w:type="auto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编制与、</w:t>
            </w:r>
            <w:r>
              <w:rPr>
                <w:rFonts w:hint="eastAsia"/>
                <w:szCs w:val="21"/>
                <w:lang w:eastAsia="zh-CN"/>
              </w:rPr>
              <w:t>环境管理体系</w:t>
            </w:r>
            <w:r>
              <w:rPr>
                <w:rFonts w:hint="eastAsia"/>
                <w:szCs w:val="21"/>
              </w:rPr>
              <w:t>运行控制有关的文件有《</w:t>
            </w:r>
            <w:r>
              <w:rPr>
                <w:rFonts w:hint="eastAsia"/>
                <w:szCs w:val="21"/>
                <w:lang w:eastAsia="zh-CN"/>
              </w:rPr>
              <w:t>环境因素识别和评价控制程序</w:t>
            </w:r>
            <w:r>
              <w:rPr>
                <w:rFonts w:hint="eastAsia"/>
                <w:szCs w:val="21"/>
              </w:rPr>
              <w:t>》、《对相关方施加影响管理程序》等。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1、客户单位告知内容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产品使用说明书中列入因素和安全性告知内容。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2、办公场所因素和危险因素管理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办公现场按</w:t>
            </w:r>
            <w:r>
              <w:rPr>
                <w:rFonts w:hint="eastAsia"/>
                <w:szCs w:val="21"/>
                <w:lang w:eastAsia="zh-CN"/>
              </w:rPr>
              <w:t>营销部</w:t>
            </w:r>
            <w:r>
              <w:rPr>
                <w:rFonts w:hint="eastAsia"/>
                <w:szCs w:val="21"/>
              </w:rPr>
              <w:t>统一规定执行，用电和消防安全由</w:t>
            </w:r>
            <w:r>
              <w:rPr>
                <w:rFonts w:hint="eastAsia"/>
                <w:szCs w:val="21"/>
                <w:lang w:val="en-US" w:eastAsia="zh-CN"/>
              </w:rPr>
              <w:t>人和资源</w:t>
            </w:r>
            <w:r>
              <w:rPr>
                <w:rFonts w:hint="eastAsia"/>
                <w:szCs w:val="21"/>
                <w:lang w:eastAsia="zh-CN"/>
              </w:rPr>
              <w:t>部</w:t>
            </w:r>
            <w:r>
              <w:rPr>
                <w:rFonts w:hint="eastAsia"/>
                <w:szCs w:val="21"/>
              </w:rPr>
              <w:t>统一检查。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3、潜在火灾管控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公司现场配有灭火器和应急预案。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4、安全防护</w:t>
            </w:r>
          </w:p>
          <w:p>
            <w:pPr>
              <w:spacing w:line="28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高温外出，配置防暑药品。</w:t>
            </w:r>
          </w:p>
          <w:p>
            <w:pPr>
              <w:spacing w:line="280" w:lineRule="exact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5、对相关方进行告知书发放。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疫情期间进出公司人员进行温度登记，查看健康码，公司给员工发放口罩等劳保用品。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应急响应和准备</w:t>
            </w:r>
          </w:p>
        </w:tc>
        <w:tc>
          <w:tcPr>
            <w:tcW w:w="0" w:type="auto"/>
            <w:vAlign w:val="top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0" w:type="auto"/>
            <w:vAlign w:val="center"/>
          </w:tcPr>
          <w:p>
            <w:pPr>
              <w:pStyle w:val="14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编制了《应急准备和响应管理程序》，查看内容基本符合要求。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参与公司</w:t>
            </w:r>
            <w:r>
              <w:rPr>
                <w:rFonts w:hint="eastAsia"/>
                <w:sz w:val="21"/>
                <w:szCs w:val="21"/>
              </w:rPr>
              <w:t>组织的应急预案及演练记录涉及消防（2021年8月18日）、有限空间作业（2021年8月30日）、危化品泄露（2021年6月16日）、触电（2021年6月18日）、中暑（2021年6月18日）、放射性污染（2021年6月20日）等，提供相应的应急救援演练方案、模拟演练记录、签到表、演练现场照片、演练评价/效果总结等内容，基本满足控制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0" w:type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7879080</wp:posOffset>
              </wp:positionH>
              <wp:positionV relativeFrom="paragraph">
                <wp:posOffset>159385</wp:posOffset>
              </wp:positionV>
              <wp:extent cx="1304290" cy="256540"/>
              <wp:effectExtent l="0" t="0" r="6350" b="254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29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620.4pt;margin-top:12.55pt;height:20.2pt;width:102.7pt;z-index:251659264;mso-width-relative:page;mso-height-relative:page;" fillcolor="#FFFFFF" filled="t" stroked="f" coordsize="21600,21600" o:gfxdata="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QfhE2AAAAAsBAAAPAAAAAAAAAAEAIAAAACIAAABkcnMvZG93bnJl&#10;di54bWxQSwECFAAUAAAACACHTuJA1Om+d8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4702"/>
    <w:rsid w:val="1C0C4A3A"/>
    <w:rsid w:val="1E7F595E"/>
    <w:rsid w:val="221B2546"/>
    <w:rsid w:val="227C2B6A"/>
    <w:rsid w:val="2AA3642E"/>
    <w:rsid w:val="3B4E769E"/>
    <w:rsid w:val="43F96602"/>
    <w:rsid w:val="55CF38A7"/>
    <w:rsid w:val="58763A8D"/>
    <w:rsid w:val="5D0F03A9"/>
    <w:rsid w:val="5FD2601D"/>
    <w:rsid w:val="60844B35"/>
    <w:rsid w:val="66DD20EA"/>
    <w:rsid w:val="66F37725"/>
    <w:rsid w:val="7CFF6F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eastAsia="PMingLiU"/>
      <w:b/>
      <w:bCs/>
      <w:sz w:val="24"/>
      <w:lang w:eastAsia="zh-TW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4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方小娥</cp:lastModifiedBy>
  <dcterms:modified xsi:type="dcterms:W3CDTF">2022-01-22T13:13:54Z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BA7C9A7C766741058338B0D7A73BB992</vt:lpwstr>
  </property>
  <property fmtid="{D5CDD505-2E9C-101B-9397-08002B2CF9AE}" pid="3" name="KSOProductBuildVer">
    <vt:lpwstr>2052-11.1.0.11294</vt:lpwstr>
  </property>
</Properties>
</file>