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0046-2022-E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杭州特种纸业有限公司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2022年01月20日 上午至2022年01月20日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2020-N1EMS-3059501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方小娥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2020-N1EMS-1059339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李大方</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ISC-JSZJ-452</w:t>
            </w:r>
          </w:p>
          <w:p>
            <w:pPr>
              <w:spacing w:line="240" w:lineRule="exact"/>
              <w:jc w:val="center"/>
              <w:rPr>
                <w:b/>
                <w:color w:val="000000"/>
                <w:szCs w:val="21"/>
              </w:rPr>
            </w:pPr>
            <w:r>
              <w:rPr>
                <w:b/>
                <w:color w:val="000000"/>
                <w:szCs w:val="21"/>
              </w:rPr>
              <w:t>浙江凯恩特种材料股份有限公司</w:t>
            </w:r>
          </w:p>
        </w:tc>
        <w:tc>
          <w:tcPr>
            <w:tcW w:w="1140" w:type="dxa"/>
            <w:vAlign w:val="center"/>
          </w:tcPr>
          <w:p>
            <w:pPr>
              <w:spacing w:line="240" w:lineRule="exact"/>
              <w:jc w:val="center"/>
              <w:rPr>
                <w:b/>
                <w:color w:val="000000"/>
                <w:szCs w:val="21"/>
              </w:rPr>
            </w:pPr>
            <w:r>
              <w:rPr>
                <w:b/>
                <w:color w:val="000000"/>
                <w:szCs w:val="21"/>
              </w:rPr>
              <w:t>07.02.05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杭州特种纸业有限公司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浙江省杭州市富阳区鹿山街道上里工业区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311407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浙江省杭州市富阳区鹿山街道上里工业区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311407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朱政</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18368090586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王建业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吴安波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化学分析滤纸（定性滤纸、定量滤纸）、汽车滤纸和钢纸（绝缘钢纸、研磨钢纸）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jc w:val="both"/>
              <w:rPr>
                <w:rFonts w:hint="eastAsia" w:eastAsia="宋体"/>
                <w:b/>
                <w:sz w:val="20"/>
                <w:lang w:val="en-US" w:eastAsia="zh-CN"/>
              </w:rPr>
            </w:pPr>
            <w:r>
              <w:rPr>
                <w:rFonts w:hint="eastAsia" w:eastAsia="宋体"/>
                <w:b/>
                <w:sz w:val="20"/>
              </w:rPr>
              <w:t>滤纸</w:t>
            </w:r>
            <w:r>
              <w:rPr>
                <w:rFonts w:hint="eastAsia" w:eastAsia="宋体"/>
                <w:b/>
                <w:sz w:val="20"/>
                <w:lang w:eastAsia="zh-CN"/>
              </w:rPr>
              <w:t>：</w:t>
            </w:r>
            <w:r>
              <w:rPr>
                <w:rFonts w:hint="eastAsia" w:eastAsia="宋体"/>
                <w:b/>
                <w:sz w:val="20"/>
                <w:lang w:val="en-US" w:eastAsia="zh-CN"/>
              </w:rPr>
              <w:t>化纤</w:t>
            </w:r>
            <w:r>
              <w:rPr>
                <w:rFonts w:hint="eastAsia" w:eastAsia="宋体"/>
                <w:b/>
                <w:sz w:val="20"/>
              </w:rPr>
              <w:t>、木浆</w:t>
            </w:r>
            <w:r>
              <w:rPr>
                <w:rFonts w:hint="eastAsia" w:eastAsia="宋体"/>
                <w:b/>
                <w:sz w:val="20"/>
                <w:lang w:eastAsia="zh-CN"/>
              </w:rPr>
              <w:t>、</w:t>
            </w:r>
            <w:r>
              <w:rPr>
                <w:rFonts w:hint="eastAsia" w:eastAsia="宋体"/>
                <w:b/>
                <w:sz w:val="20"/>
                <w:lang w:val="en-US" w:eastAsia="zh-CN"/>
              </w:rPr>
              <w:t>玻纤--</w:t>
            </w:r>
            <w:r>
              <w:rPr>
                <w:rFonts w:hint="eastAsia" w:eastAsia="宋体"/>
                <w:b/>
                <w:sz w:val="20"/>
              </w:rPr>
              <w:t>纸机</w:t>
            </w:r>
            <w:r>
              <w:rPr>
                <w:rFonts w:hint="eastAsia" w:eastAsia="宋体"/>
                <w:b/>
                <w:sz w:val="20"/>
                <w:lang w:val="en-US" w:eastAsia="zh-CN"/>
              </w:rPr>
              <w:t>--复合</w:t>
            </w:r>
            <w:r>
              <w:rPr>
                <w:rFonts w:hint="eastAsia" w:eastAsia="宋体"/>
                <w:b/>
                <w:sz w:val="20"/>
              </w:rPr>
              <w:t>原纸</w:t>
            </w:r>
            <w:r>
              <w:rPr>
                <w:rFonts w:hint="eastAsia" w:eastAsia="宋体"/>
                <w:b/>
                <w:sz w:val="20"/>
                <w:lang w:val="en-US" w:eastAsia="zh-CN"/>
              </w:rPr>
              <w:t xml:space="preserve">--胶粘合--检测--分切--包装--入库； </w:t>
            </w:r>
          </w:p>
          <w:p>
            <w:pPr>
              <w:tabs>
                <w:tab w:val="left" w:pos="360"/>
              </w:tabs>
              <w:rPr>
                <w:rFonts w:ascii="宋体"/>
                <w:color w:val="000000"/>
                <w:szCs w:val="21"/>
              </w:rPr>
            </w:pPr>
            <w:r>
              <w:rPr>
                <w:rFonts w:hint="eastAsia" w:eastAsia="宋体"/>
                <w:b/>
                <w:sz w:val="20"/>
                <w:lang w:val="en-US" w:eastAsia="zh-CN"/>
              </w:rPr>
              <w:t>钢纸：</w:t>
            </w:r>
            <w:r>
              <w:rPr>
                <w:rFonts w:hint="eastAsia" w:eastAsia="宋体"/>
                <w:b/>
                <w:sz w:val="20"/>
              </w:rPr>
              <w:t>棉浆、木浆</w:t>
            </w:r>
            <w:r>
              <w:rPr>
                <w:rFonts w:hint="eastAsia" w:eastAsia="宋体"/>
                <w:b/>
                <w:sz w:val="20"/>
                <w:lang w:val="en-US" w:eastAsia="zh-CN"/>
              </w:rPr>
              <w:t>--</w:t>
            </w:r>
            <w:r>
              <w:rPr>
                <w:rFonts w:hint="eastAsia" w:eastAsia="宋体"/>
                <w:b/>
                <w:sz w:val="20"/>
              </w:rPr>
              <w:t>纸机</w:t>
            </w:r>
            <w:r>
              <w:rPr>
                <w:rFonts w:hint="eastAsia" w:eastAsia="宋体"/>
                <w:b/>
                <w:sz w:val="20"/>
                <w:lang w:val="en-US" w:eastAsia="zh-CN"/>
              </w:rPr>
              <w:t>--</w:t>
            </w:r>
            <w:r>
              <w:rPr>
                <w:rFonts w:hint="eastAsia" w:eastAsia="宋体"/>
                <w:b/>
                <w:sz w:val="20"/>
              </w:rPr>
              <w:t>钢纸原纸</w:t>
            </w:r>
            <w:r>
              <w:rPr>
                <w:rFonts w:hint="eastAsia" w:eastAsia="宋体"/>
                <w:b/>
                <w:sz w:val="20"/>
                <w:lang w:val="en-US" w:eastAsia="zh-CN"/>
              </w:rPr>
              <w:t>--</w:t>
            </w:r>
            <w:r>
              <w:rPr>
                <w:rFonts w:hint="eastAsia" w:eastAsia="宋体"/>
                <w:b/>
                <w:sz w:val="20"/>
              </w:rPr>
              <w:t>胶化</w:t>
            </w:r>
            <w:r>
              <w:rPr>
                <w:rFonts w:hint="eastAsia" w:eastAsia="宋体"/>
                <w:b/>
                <w:sz w:val="20"/>
                <w:lang w:val="en-US" w:eastAsia="zh-CN"/>
              </w:rPr>
              <w:t>--老化--脱盐--烘干--压光--收卷；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Times New Roman" w:hAnsi="Times New Roman" w:eastAsia="宋体" w:cs="Times New Roman"/>
                <w:kern w:val="2"/>
                <w:sz w:val="21"/>
                <w:szCs w:val="24"/>
                <w:lang w:val="en-US" w:eastAsia="zh-CN" w:bidi="ar-SA"/>
              </w:rPr>
            </w:pPr>
            <w:r>
              <w:t>化学分析滤纸（定性滤纸、定量滤纸）、汽车滤纸和钢纸（绝缘钢纸、研磨钢纸）的生产所涉及场所的相关环境管理活动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0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0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0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07" w:type="dxa"/>
            <w:vAlign w:val="center"/>
          </w:tcPr>
          <w:p>
            <w:pPr>
              <w:spacing w:before="40" w:after="40"/>
              <w:rPr>
                <w:rFonts w:eastAsia="黑体"/>
                <w:szCs w:val="21"/>
                <w:lang w:eastAsia="ja-JP"/>
              </w:rPr>
            </w:pPr>
            <w:r>
              <w:rPr>
                <w:rFonts w:eastAsia="黑体"/>
                <w:szCs w:val="21"/>
                <w:lang w:eastAsia="ja-JP"/>
              </w:rPr>
              <w:t>01</w:t>
            </w:r>
          </w:p>
        </w:tc>
        <w:tc>
          <w:tcPr>
            <w:tcW w:w="200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杭州特种纸业有限公司</w:t>
            </w:r>
            <w:r>
              <w:rPr>
                <w:rFonts w:hint="eastAsia"/>
                <w:sz w:val="21"/>
                <w:szCs w:val="21"/>
                <w:lang w:val="en-US" w:eastAsia="zh-CN"/>
              </w:rPr>
              <w:t>/</w:t>
            </w:r>
            <w:r>
              <w:rPr>
                <w:rFonts w:asciiTheme="minorEastAsia" w:hAnsiTheme="minorEastAsia" w:eastAsiaTheme="minorEastAsia"/>
                <w:sz w:val="20"/>
              </w:rPr>
              <w:t>浙江省杭州市富阳区鹿山街道上里工业区</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浙江省杭州市富阳区鹿山街道上里工业区</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340</w:t>
            </w:r>
          </w:p>
        </w:tc>
        <w:tc>
          <w:tcPr>
            <w:tcW w:w="2803" w:type="dxa"/>
            <w:vAlign w:val="center"/>
          </w:tcPr>
          <w:p>
            <w:pPr>
              <w:pStyle w:val="19"/>
              <w:rPr>
                <w:rFonts w:ascii="Times New Roman" w:hAnsi="Times New Roman" w:eastAsia="黑体" w:cs="Arial"/>
                <w:kern w:val="2"/>
                <w:sz w:val="21"/>
                <w:szCs w:val="21"/>
                <w:lang w:val="en-US" w:eastAsia="ja-JP" w:bidi="ar-SA"/>
              </w:rPr>
            </w:pPr>
            <w:r>
              <w:rPr>
                <w:sz w:val="20"/>
              </w:rPr>
              <w:t>化学分析滤纸（定性滤纸、定量滤纸）、汽车滤纸和钢纸（绝缘钢纸、研磨钢纸、钢纸原纸）的生产所涉及场所的</w:t>
            </w:r>
            <w:r>
              <w:rPr>
                <w:rFonts w:hint="eastAsia" w:eastAsia="宋体"/>
                <w:sz w:val="20"/>
                <w:lang w:val="en-US" w:eastAsia="zh-CN"/>
              </w:rPr>
              <w:t>环境</w:t>
            </w:r>
            <w:r>
              <w:rPr>
                <w:sz w:val="20"/>
              </w:rPr>
              <w:t>管理</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GB/T4524001-2016</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eastAsia="黑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dxa"/>
            <w:vAlign w:val="center"/>
          </w:tcPr>
          <w:p>
            <w:pPr>
              <w:spacing w:before="40" w:after="40"/>
              <w:rPr>
                <w:rFonts w:eastAsia="黑体"/>
                <w:szCs w:val="21"/>
                <w:lang w:eastAsia="ja-JP"/>
              </w:rPr>
            </w:pPr>
            <w:r>
              <w:rPr>
                <w:rFonts w:eastAsia="黑体"/>
                <w:szCs w:val="21"/>
                <w:lang w:eastAsia="ja-JP"/>
              </w:rPr>
              <w:t>02</w:t>
            </w:r>
          </w:p>
        </w:tc>
        <w:tc>
          <w:tcPr>
            <w:tcW w:w="200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dxa"/>
            <w:vAlign w:val="center"/>
          </w:tcPr>
          <w:p>
            <w:pPr>
              <w:spacing w:before="40" w:after="40"/>
              <w:rPr>
                <w:rFonts w:eastAsia="黑体"/>
                <w:szCs w:val="21"/>
                <w:lang w:eastAsia="ja-JP"/>
              </w:rPr>
            </w:pPr>
            <w:r>
              <w:rPr>
                <w:rFonts w:eastAsia="黑体"/>
                <w:szCs w:val="21"/>
                <w:lang w:eastAsia="ja-JP"/>
              </w:rPr>
              <w:t>03</w:t>
            </w:r>
          </w:p>
        </w:tc>
        <w:tc>
          <w:tcPr>
            <w:tcW w:w="200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dxa"/>
            <w:vAlign w:val="center"/>
          </w:tcPr>
          <w:p>
            <w:pPr>
              <w:spacing w:before="40" w:after="40"/>
              <w:rPr>
                <w:rFonts w:eastAsia="黑体"/>
                <w:szCs w:val="21"/>
                <w:lang w:eastAsia="ja-JP"/>
              </w:rPr>
            </w:pPr>
            <w:r>
              <w:rPr>
                <w:rFonts w:eastAsia="黑体"/>
                <w:szCs w:val="21"/>
                <w:lang w:eastAsia="ja-JP"/>
              </w:rPr>
              <w:t>04</w:t>
            </w:r>
          </w:p>
        </w:tc>
        <w:tc>
          <w:tcPr>
            <w:tcW w:w="200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dxa"/>
            <w:vAlign w:val="center"/>
          </w:tcPr>
          <w:p>
            <w:pPr>
              <w:spacing w:before="40" w:after="40"/>
              <w:rPr>
                <w:rFonts w:eastAsia="黑体"/>
                <w:szCs w:val="21"/>
                <w:lang w:eastAsia="ja-JP"/>
              </w:rPr>
            </w:pPr>
            <w:r>
              <w:rPr>
                <w:rFonts w:eastAsia="黑体"/>
                <w:szCs w:val="21"/>
                <w:lang w:eastAsia="ja-JP"/>
              </w:rPr>
              <w:t>05</w:t>
            </w:r>
          </w:p>
        </w:tc>
        <w:tc>
          <w:tcPr>
            <w:tcW w:w="200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2017</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2022-01-20</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1312" behindDoc="1" locked="0" layoutInCell="1" allowOverlap="1">
            <wp:simplePos x="0" y="0"/>
            <wp:positionH relativeFrom="column">
              <wp:posOffset>4806950</wp:posOffset>
            </wp:positionH>
            <wp:positionV relativeFrom="paragraph">
              <wp:posOffset>354965</wp:posOffset>
            </wp:positionV>
            <wp:extent cx="684530" cy="368300"/>
            <wp:effectExtent l="0" t="0" r="0" b="12700"/>
            <wp:wrapNone/>
            <wp:docPr id="3" name="图片 3" descr="李大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大方"/>
                    <pic:cNvPicPr>
                      <a:picLocks noChangeAspect="1"/>
                    </pic:cNvPicPr>
                  </pic:nvPicPr>
                  <pic:blipFill>
                    <a:blip r:embed="rId6"/>
                    <a:stretch>
                      <a:fillRect/>
                    </a:stretch>
                  </pic:blipFill>
                  <pic:spPr>
                    <a:xfrm>
                      <a:off x="0" y="0"/>
                      <a:ext cx="684530" cy="368300"/>
                    </a:xfrm>
                    <a:prstGeom prst="rect">
                      <a:avLst/>
                    </a:prstGeom>
                  </pic:spPr>
                </pic:pic>
              </a:graphicData>
            </a:graphic>
          </wp:anchor>
        </w:drawing>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1691640</wp:posOffset>
            </wp:positionH>
            <wp:positionV relativeFrom="paragraph">
              <wp:posOffset>264160</wp:posOffset>
            </wp:positionV>
            <wp:extent cx="579120" cy="418465"/>
            <wp:effectExtent l="0" t="0" r="0" b="889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7"/>
                    <a:stretch>
                      <a:fillRect/>
                    </a:stretch>
                  </pic:blipFill>
                  <pic:spPr>
                    <a:xfrm>
                      <a:off x="0" y="0"/>
                      <a:ext cx="579120" cy="418465"/>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lang w:val="en-US" w:eastAsia="zh-CN"/>
        </w:rPr>
        <w:drawing>
          <wp:anchor distT="0" distB="0" distL="114300" distR="114300" simplePos="0" relativeHeight="251661312" behindDoc="1" locked="0" layoutInCell="1" allowOverlap="1">
            <wp:simplePos x="0" y="0"/>
            <wp:positionH relativeFrom="column">
              <wp:posOffset>4102735</wp:posOffset>
            </wp:positionH>
            <wp:positionV relativeFrom="paragraph">
              <wp:posOffset>26035</wp:posOffset>
            </wp:positionV>
            <wp:extent cx="638175" cy="304800"/>
            <wp:effectExtent l="0" t="0" r="1905" b="0"/>
            <wp:wrapNone/>
            <wp:docPr id="5"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方小娥"/>
                    <pic:cNvPicPr>
                      <a:picLocks noChangeAspect="1"/>
                    </pic:cNvPicPr>
                  </pic:nvPicPr>
                  <pic:blipFill>
                    <a:blip r:embed="rId8"/>
                    <a:stretch>
                      <a:fillRect/>
                    </a:stretch>
                  </pic:blipFill>
                  <pic:spPr>
                    <a:xfrm>
                      <a:off x="0" y="0"/>
                      <a:ext cx="638175" cy="30480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2022-1-20</w:t>
      </w:r>
      <w:bookmarkStart w:id="36" w:name="_GoBack"/>
      <w:bookmarkEnd w:id="36"/>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25017F8"/>
    <w:rsid w:val="31B33F3A"/>
    <w:rsid w:val="68376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8</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2022-01-20T08:58:30Z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